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ผลการตรวจเล่มปริญญานิพนธ์</w:t>
      </w:r>
      <w:r>
        <w:t xml:space="preserve"> </w:t>
      </w:r>
      <w:r>
        <w:t xml:space="preserve">“ระบบจัดการคำสั่งซื้อและตรวจสอบคลังสินค้า กรณีศึกษาร้านวัสดุก่อสร้างอำพรคอนกรีต”</w:t>
      </w:r>
      <w:r>
        <w:t xml:space="preserve"> </w:t>
      </w:r>
      <w:r>
        <w:t xml:space="preserve">ฉบับที่นำเสนออาจารย์ตรวจวันที่ 21 ตุลาคม 2569 (228 หน้า) โดยอ้างอิงคู่มือการจัดทำปริญญานิพนธ์ของคณะวิศวกรรมศาสตร์ ปี 2568 และคู่มือของหลักสูตรวิศวกรรมซอฟต์แวร์ ตรวจด้วย AI ที่ไม่เคยเห็นงานมาก่อนตามพรอมต์ของอาจารย์ แล้วผู้จัดทำตรวจซ้ำทุกข้อกับเล่ม คู่มือ และซอร์สโค้ดจริง เลขหน้าในเอกสารนี้คือเลขหน้าที่พิมพ์ในเล่ม</w:t>
      </w:r>
    </w:p>
    <w:bookmarkStart w:id="9" w:name="X9e91c025336b280bb42049cb4c64170fe568f18"/>
    <w:p>
      <w:pPr>
        <w:pStyle w:val="Heading1"/>
      </w:pPr>
      <w:r>
        <w:t xml:space="preserve">1. ความสอดคล้องกับรูปแบบและโครงสร้างเล่ม (Formatting &amp; Structure)</w:t>
      </w:r>
    </w:p>
    <w:p>
      <w:pPr>
        <w:pStyle w:val="FirstParagraph"/>
      </w:pPr>
      <w:r>
        <w:t xml:space="preserve">ภาพรวม ลำดับส่วนประกอบของเล่ม ตัวอักษรกำกับหน้าในส่วนนำ โครงสร้าง 5 บทตามหลักสูตรวิศวกรรมซอฟต์แวร์ และหน้าแรกของบท เอกสารอ้างอิง ภาคผนวก และประวัติผู้เขียนที่ไม่พิมพ์เลขหน้า ถูกต้องตามคู่มือ</w:t>
      </w:r>
    </w:p>
    <w:p>
      <w:pPr>
        <w:pStyle w:val="BodyText"/>
      </w:pPr>
      <w:r>
        <w:t xml:space="preserve">จุดที่ต้องปรับปรุง:</w:t>
      </w:r>
    </w:p>
    <w:p>
      <w:pPr>
        <w:pStyle w:val="Compact"/>
        <w:numPr>
          <w:ilvl w:val="0"/>
          <w:numId w:val="1001"/>
        </w:numPr>
      </w:pPr>
      <w:r>
        <w:t xml:space="preserve">ปกนอก ปกใน และหน้าอนุมัติ: แก้แล้วเป็น</w:t>
      </w:r>
      <w:r>
        <w:t xml:space="preserve"> </w:t>
      </w:r>
      <w:r>
        <w:t xml:space="preserve">“หลักสูตรวิศวกรรมศาสตรบัณฑิต สาขาวิชาวิศวกรรมซอฟต์แวร์ คณะวิศวกรรมศาสตร์ มหาวิทยาลัยเทคโนโลยีราชมงคลล้านนา เชียงใหม่”</w:t>
      </w:r>
      <w:r>
        <w:t xml:space="preserve"> </w:t>
      </w:r>
      <w:r>
        <w:t xml:space="preserve">หน้าอนุมัติคงรายชื่อกรรมการเดิม และเพิ่มช่องลงนามอาจารย์ที่ปรึกษาใต้กรรมการผู้ควบคุม (ตามข้อเสนอแนะของอาจารย์)</w:t>
      </w:r>
    </w:p>
    <w:p>
      <w:pPr>
        <w:pStyle w:val="Compact"/>
        <w:numPr>
          <w:ilvl w:val="0"/>
          <w:numId w:val="1001"/>
        </w:numPr>
      </w:pPr>
      <w:r>
        <w:t xml:space="preserve">การตัดคำข้ามบรรทัด: พบคำประสมถูกตัดกลางคำประมาณ 30 จุด เช่น</w:t>
      </w:r>
      <w:r>
        <w:t xml:space="preserve"> </w:t>
      </w:r>
      <w:r>
        <w:t xml:space="preserve">“แตก / ต่าง”</w:t>
      </w:r>
      <w:r>
        <w:t xml:space="preserve"> </w:t>
      </w:r>
      <w:r>
        <w:t xml:space="preserve">(หน้า 9)</w:t>
      </w:r>
      <w:r>
        <w:t xml:space="preserve"> </w:t>
      </w:r>
      <w:r>
        <w:t xml:space="preserve">“คำ / สั่งซื้อ”</w:t>
      </w:r>
      <w:r>
        <w:t xml:space="preserve"> </w:t>
      </w:r>
      <w:r>
        <w:t xml:space="preserve">(หน้า 57)</w:t>
      </w:r>
      <w:r>
        <w:t xml:space="preserve"> </w:t>
      </w:r>
      <w:r>
        <w:t xml:space="preserve">“ผู้ / จัดการ”</w:t>
      </w:r>
      <w:r>
        <w:t xml:space="preserve"> </w:t>
      </w:r>
      <w:r>
        <w:t xml:space="preserve">“ถูก / ต้อง”</w:t>
      </w:r>
      <w:r>
        <w:t xml:space="preserve"> </w:t>
      </w:r>
      <w:r>
        <w:t xml:space="preserve">ซึ่งคู่มือข้อ 3.3 ให้ยกทั้งคำไปบรรทัดใหม่</w:t>
      </w:r>
    </w:p>
    <w:p>
      <w:pPr>
        <w:pStyle w:val="Compact"/>
        <w:numPr>
          <w:ilvl w:val="1"/>
          <w:numId w:val="1002"/>
        </w:numPr>
      </w:pPr>
      <w:r>
        <w:t xml:space="preserve">การแก้ไข: กำหนดคำประสมเหล่านี้ไม่ให้ตัดทั้งเล่ม แล้วตรวจซ้ำด้วยโปรแกรม</w:t>
      </w:r>
    </w:p>
    <w:p>
      <w:pPr>
        <w:pStyle w:val="Compact"/>
        <w:numPr>
          <w:ilvl w:val="0"/>
          <w:numId w:val="1001"/>
        </w:numPr>
      </w:pPr>
      <w:r>
        <w:t xml:space="preserve">ชื่อไฟล์และเส้นทางในช่องตารางถูกตัดข้ามบรรทัด เช่น</w:t>
      </w:r>
      <w:r>
        <w:t xml:space="preserve"> </w:t>
      </w:r>
      <w:r>
        <w:t xml:space="preserve">“C:\Amporn / OMS”</w:t>
      </w:r>
      <w:r>
        <w:t xml:space="preserve"> </w:t>
      </w:r>
      <w:r>
        <w:t xml:space="preserve">(หน้า 190)</w:t>
      </w:r>
      <w:r>
        <w:t xml:space="preserve"> </w:t>
      </w:r>
      <w:r>
        <w:t xml:space="preserve">“parse / Items”</w:t>
      </w:r>
      <w:r>
        <w:t xml:space="preserve"> </w:t>
      </w:r>
      <w:r>
        <w:t xml:space="preserve">(หน้า 167–168)</w:t>
      </w:r>
    </w:p>
    <w:p>
      <w:pPr>
        <w:pStyle w:val="Compact"/>
        <w:numPr>
          <w:ilvl w:val="1"/>
          <w:numId w:val="1003"/>
        </w:numPr>
      </w:pPr>
      <w:r>
        <w:t xml:space="preserve">การแก้ไข: ขยายคอลัมน์ไม่ให้ตัดชื่อ</w:t>
      </w:r>
    </w:p>
    <w:p>
      <w:pPr>
        <w:pStyle w:val="Compact"/>
        <w:numPr>
          <w:ilvl w:val="0"/>
          <w:numId w:val="1001"/>
        </w:numPr>
      </w:pPr>
      <w:r>
        <w:t xml:space="preserve">รหัสผลลัพธ์ที่ส่งมอบ M1–M6 ในตารางที่ 1.2 (หน้า 5) ไม่อยู่ในประมวลคำย่อ และคล้ายรหัส M-xx ที่ใช้กับองค์ประกอบของแบบจำลอง</w:t>
      </w:r>
    </w:p>
    <w:p>
      <w:pPr>
        <w:pStyle w:val="Compact"/>
        <w:numPr>
          <w:ilvl w:val="1"/>
          <w:numId w:val="1004"/>
        </w:numPr>
      </w:pPr>
      <w:r>
        <w:t xml:space="preserve">การแก้ไข: เพิ่มในประมวลคำย่อ หรือเปลี่ยนเป็น MS-1 ถึง MS-6</w:t>
      </w:r>
    </w:p>
    <w:p>
      <w:pPr>
        <w:pStyle w:val="Compact"/>
        <w:numPr>
          <w:ilvl w:val="0"/>
          <w:numId w:val="1001"/>
        </w:numPr>
      </w:pPr>
      <w:r>
        <w:t xml:space="preserve">ประวัติผู้เขียน (หน้า 204–205): วุฒิการศึกษาระดับ ปวส. ยังไม่ระบุสาขาวิชาและปีที่สำเร็จการศึกษา</w:t>
      </w:r>
    </w:p>
    <w:p>
      <w:pPr>
        <w:pStyle w:val="Compact"/>
        <w:numPr>
          <w:ilvl w:val="1"/>
          <w:numId w:val="1005"/>
        </w:numPr>
      </w:pPr>
      <w:r>
        <w:t xml:space="preserve">การแก้ไข: ผู้จัดทำกำลังรวบรวมข้อมูล</w:t>
      </w:r>
    </w:p>
    <w:p>
      <w:pPr>
        <w:pStyle w:val="Compact"/>
        <w:numPr>
          <w:ilvl w:val="0"/>
          <w:numId w:val="1001"/>
        </w:numPr>
      </w:pPr>
      <w:r>
        <w:t xml:space="preserve">สันปก: จะจัดทำสันปกชื่อเรื่องและปีการศึกษา 2569 ด้วยฟอนต์ TH Sarabun New 16 พอยต์ ก่อนเข้าเล่ม</w:t>
      </w:r>
    </w:p>
    <w:bookmarkEnd w:id="9"/>
    <w:bookmarkStart w:id="10" w:name="Xb1f1686eafe84b50d65212e8c9c3037bf79adcb"/>
    <w:p>
      <w:pPr>
        <w:pStyle w:val="Heading1"/>
      </w:pPr>
      <w:r>
        <w:t xml:space="preserve">2. การพิสูจน์อักษรและการใช้ภาษา (Proofreading &amp; Language)</w:t>
      </w:r>
    </w:p>
    <w:p>
      <w:pPr>
        <w:pStyle w:val="FirstParagraph"/>
      </w:pPr>
      <w:r>
        <w:t xml:space="preserve">สำนวนเป็นภาษาวิชาการ บทคัดย่อภาษาอังกฤษใช้กาลตามคู่มือ และมีคำสำคัญ 5 คำทั้งสองภาษา</w:t>
      </w:r>
    </w:p>
    <w:p>
      <w:pPr>
        <w:pStyle w:val="BodyText"/>
      </w:pPr>
      <w:r>
        <w:t xml:space="preserve">จุดที่ต้องปรับปรุง:</w:t>
      </w:r>
    </w:p>
    <w:p>
      <w:pPr>
        <w:pStyle w:val="Compact"/>
        <w:numPr>
          <w:ilvl w:val="0"/>
          <w:numId w:val="1006"/>
        </w:numPr>
      </w:pPr>
      <w:r>
        <w:t xml:space="preserve">คำว่า</w:t>
      </w:r>
      <w:r>
        <w:t xml:space="preserve"> </w:t>
      </w:r>
      <w:r>
        <w:t xml:space="preserve">“เว็บช็อกเก็ต”</w:t>
      </w:r>
      <w:r>
        <w:t xml:space="preserve">: ค้นข้อความทั้งเล่มไม่พบคำว่า</w:t>
      </w:r>
      <w:r>
        <w:t xml:space="preserve"> </w:t>
      </w:r>
      <w:r>
        <w:t xml:space="preserve">“ช็อก”</w:t>
      </w:r>
      <w:r>
        <w:t xml:space="preserve"> </w:t>
      </w:r>
      <w:r>
        <w:t xml:space="preserve">ทุกจุดสะกด</w:t>
      </w:r>
      <w:r>
        <w:t xml:space="preserve"> </w:t>
      </w:r>
      <w:r>
        <w:t xml:space="preserve">“เว็บซ็อกเก็ต”</w:t>
      </w:r>
      <w:r>
        <w:t xml:space="preserve"> </w:t>
      </w:r>
      <w:r>
        <w:t xml:space="preserve">(ซ.โซ่) อยู่แล้ว และตรวจข้อความในรูปแผนภาพทุกรูปแล้วก็ไม่พบเช่นกัน</w:t>
      </w:r>
    </w:p>
    <w:p>
      <w:pPr>
        <w:pStyle w:val="Compact"/>
        <w:numPr>
          <w:ilvl w:val="0"/>
          <w:numId w:val="1006"/>
        </w:numPr>
      </w:pPr>
      <w:r>
        <w:t xml:space="preserve">การทับศัพท์: พบศัพท์ทับศัพท์ประมาณ 35 คำที่ไม่มีภาษาอังกฤษในวงเล็บเมื่อใช้ครั้งแรก เช่น รีแอ็กต์ โหนดเจเอส มายเอสคิวแอล ในบทที่ 1 (หน้า 3) ซึ่งภาษาอังกฤษปรากฏครั้งแรกในบทที่ 2 และ เจสต์ เพลย์ไรต์ กิต บีคริปต์ (หน้า 14) เจสัน (หน้า 65) ด็อกเกอร์ (หน้า 198)</w:t>
      </w:r>
    </w:p>
    <w:p>
      <w:pPr>
        <w:pStyle w:val="Compact"/>
        <w:numPr>
          <w:ilvl w:val="1"/>
          <w:numId w:val="1007"/>
        </w:numPr>
      </w:pPr>
      <w:r>
        <w:t xml:space="preserve">การแก้ไข: ใส่ภาษาอังกฤษในวงเล็บเมื่อใช้ครั้งแรกของแต่ละบท ตามข้อเสนอแนะของอาจารย์</w:t>
      </w:r>
    </w:p>
    <w:p>
      <w:pPr>
        <w:pStyle w:val="Compact"/>
        <w:numPr>
          <w:ilvl w:val="0"/>
          <w:numId w:val="1006"/>
        </w:numPr>
      </w:pPr>
      <w:r>
        <w:t xml:space="preserve">ภาษาไม่เป็นทางการ:</w:t>
      </w:r>
      <w:r>
        <w:t xml:space="preserve"> </w:t>
      </w:r>
      <w:r>
        <w:t xml:space="preserve">“มือถือ”</w:t>
      </w:r>
      <w:r>
        <w:t xml:space="preserve"> </w:t>
      </w:r>
      <w:r>
        <w:t xml:space="preserve">“โกดัง”</w:t>
      </w:r>
      <w:r>
        <w:t xml:space="preserve"> </w:t>
      </w:r>
      <w:r>
        <w:t xml:space="preserve">“จ่ายของ”</w:t>
      </w:r>
      <w:r>
        <w:t xml:space="preserve"> </w:t>
      </w:r>
      <w:r>
        <w:t xml:space="preserve">ในหลายหน้า</w:t>
      </w:r>
    </w:p>
    <w:p>
      <w:pPr>
        <w:pStyle w:val="Compact"/>
        <w:numPr>
          <w:ilvl w:val="1"/>
          <w:numId w:val="1008"/>
        </w:numPr>
      </w:pPr>
      <w:r>
        <w:t xml:space="preserve">การแก้ไข: เปลี่ยนเป็น</w:t>
      </w:r>
      <w:r>
        <w:t xml:space="preserve"> </w:t>
      </w:r>
      <w:r>
        <w:t xml:space="preserve">“โทรศัพท์เคลื่อนที่”</w:t>
      </w:r>
      <w:r>
        <w:t xml:space="preserve"> </w:t>
      </w:r>
      <w:r>
        <w:t xml:space="preserve">“คลังสินค้า”</w:t>
      </w:r>
      <w:r>
        <w:t xml:space="preserve"> </w:t>
      </w:r>
      <w:r>
        <w:t xml:space="preserve">“จ่ายสินค้า”</w:t>
      </w:r>
    </w:p>
    <w:p>
      <w:pPr>
        <w:pStyle w:val="Compact"/>
        <w:numPr>
          <w:ilvl w:val="0"/>
          <w:numId w:val="1006"/>
        </w:numPr>
      </w:pPr>
      <w:r>
        <w:t xml:space="preserve">ศัพท์เรื่องเดียวกันเขียนต่างกัน เช่น</w:t>
      </w:r>
      <w:r>
        <w:t xml:space="preserve"> </w:t>
      </w:r>
      <w:r>
        <w:t xml:space="preserve">“แอปพลิเคชันสนทนา”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“แอปพลิเคชันส่งข้อความ”</w:t>
      </w:r>
      <w:r>
        <w:t xml:space="preserve"> </w:t>
      </w:r>
      <w:r>
        <w:t xml:space="preserve">“คลังเก็บโค้ด”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“ที่เก็บโค้ด”</w:t>
      </w:r>
      <w:r>
        <w:t xml:space="preserve"> </w:t>
      </w:r>
      <w:r>
        <w:t xml:space="preserve">“มอก. 620”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“TIS-620”</w:t>
      </w:r>
    </w:p>
    <w:p>
      <w:pPr>
        <w:pStyle w:val="Compact"/>
        <w:numPr>
          <w:ilvl w:val="1"/>
          <w:numId w:val="1009"/>
        </w:numPr>
      </w:pPr>
      <w:r>
        <w:t xml:space="preserve">การแก้ไข: ใช้คำเดียวทั้งเล่ม</w:t>
      </w:r>
    </w:p>
    <w:p>
      <w:pPr>
        <w:pStyle w:val="Compact"/>
        <w:numPr>
          <w:ilvl w:val="0"/>
          <w:numId w:val="1006"/>
        </w:numPr>
      </w:pPr>
      <w:r>
        <w:t xml:space="preserve">ประโยคไม่มีประธาน (หน้า 8)</w:t>
      </w:r>
      <w:r>
        <w:t xml:space="preserve"> </w:t>
      </w:r>
      <w:r>
        <w:t xml:space="preserve">“…ใช้แบบจำลองซีโฟร์ของบราวน์ [3]”</w:t>
      </w:r>
    </w:p>
    <w:p>
      <w:pPr>
        <w:pStyle w:val="Compact"/>
        <w:numPr>
          <w:ilvl w:val="1"/>
          <w:numId w:val="1010"/>
        </w:numPr>
      </w:pPr>
      <w:r>
        <w:t xml:space="preserve">การแก้ไข: เพิ่ม</w:t>
      </w:r>
      <w:r>
        <w:t xml:space="preserve"> </w:t>
      </w:r>
      <w:r>
        <w:t xml:space="preserve">“โครงงานนี้จึง”</w:t>
      </w:r>
    </w:p>
    <w:bookmarkEnd w:id="10"/>
    <w:bookmarkStart w:id="11" w:name="X597b6497b8f8daf88efedebe47c6b6eddc7c373"/>
    <w:p>
      <w:pPr>
        <w:pStyle w:val="Heading1"/>
      </w:pPr>
      <w:r>
        <w:t xml:space="preserve">3. ตาราง รูปภาพ และภาคผนวก (Tables, Figures, &amp; Appendices)</w:t>
      </w:r>
    </w:p>
    <w:p>
      <w:pPr>
        <w:pStyle w:val="FirstParagraph"/>
      </w:pPr>
      <w:r>
        <w:t xml:space="preserve">ชื่อตารางและรูปตรงกับสารบัญทั้ง 223 รายการ สารบัญรูปและสารบัญตารางที่ยาวเกินหนึ่งหน้ามีคำว่า</w:t>
      </w:r>
      <w:r>
        <w:t xml:space="preserve"> </w:t>
      </w:r>
      <w:r>
        <w:t xml:space="preserve">“(ต่อ)”</w:t>
      </w:r>
      <w:r>
        <w:t xml:space="preserve"> </w:t>
      </w:r>
      <w:r>
        <w:t xml:space="preserve">ครบทุกหน้า และการอ้างถึงตาราง รูป และหัวข้อในเนื้อความมีอยู่จริงทุกจุด</w:t>
      </w:r>
    </w:p>
    <w:p>
      <w:pPr>
        <w:pStyle w:val="BodyText"/>
      </w:pPr>
      <w:r>
        <w:t xml:space="preserve">จุดที่ต้องปรับปรุง:</w:t>
      </w:r>
    </w:p>
    <w:p>
      <w:pPr>
        <w:pStyle w:val="Compact"/>
        <w:numPr>
          <w:ilvl w:val="0"/>
          <w:numId w:val="1011"/>
        </w:numPr>
      </w:pPr>
      <w:r>
        <w:t xml:space="preserve">ที่มาของรูป: รูปที่ 2.1–2.4 (หน้า 15, 16, 19) เขียน</w:t>
      </w:r>
      <w:r>
        <w:t xml:space="preserve"> </w:t>
      </w:r>
      <w:r>
        <w:t xml:space="preserve">“ที่มา (URL)”</w:t>
      </w:r>
      <w:r>
        <w:t xml:space="preserve"> </w:t>
      </w:r>
      <w:r>
        <w:t xml:space="preserve">แต่คู่มือข้อ 3.6.3 ให้เขียน</w:t>
      </w:r>
      <w:r>
        <w:t xml:space="preserve"> </w:t>
      </w:r>
      <w:r>
        <w:t xml:space="preserve">“ที่มา : แหล่งที่มา”</w:t>
      </w:r>
    </w:p>
    <w:p>
      <w:pPr>
        <w:pStyle w:val="Compact"/>
        <w:numPr>
          <w:ilvl w:val="1"/>
          <w:numId w:val="1012"/>
        </w:numPr>
      </w:pPr>
      <w:r>
        <w:t xml:space="preserve">การแก้ไข: แก้เป็น</w:t>
      </w:r>
      <w:r>
        <w:t xml:space="preserve"> </w:t>
      </w:r>
      <w:r>
        <w:t xml:space="preserve">“ที่มา : Wikimedia Commons (URL)”</w:t>
      </w:r>
    </w:p>
    <w:p>
      <w:pPr>
        <w:pStyle w:val="Compact"/>
        <w:numPr>
          <w:ilvl w:val="0"/>
          <w:numId w:val="1011"/>
        </w:numPr>
      </w:pPr>
      <w:r>
        <w:t xml:space="preserve">ภาคผนวก: คำว่า</w:t>
      </w:r>
      <w:r>
        <w:t xml:space="preserve"> </w:t>
      </w:r>
      <w:r>
        <w:t xml:space="preserve">“ภาคผนวก ก”</w:t>
      </w:r>
      <w:r>
        <w:t xml:space="preserve"> </w:t>
      </w:r>
      <w:r>
        <w:t xml:space="preserve">ถึง</w:t>
      </w:r>
      <w:r>
        <w:t xml:space="preserve"> </w:t>
      </w:r>
      <w:r>
        <w:t xml:space="preserve">“ภาคผนวก ซ”</w:t>
      </w:r>
      <w:r>
        <w:t xml:space="preserve"> </w:t>
      </w:r>
      <w:r>
        <w:t xml:space="preserve">อยู่บนสุดของหน้าแรกของแต่ละภาคผนวก (หน้า 119, 167, 175, 179, 188, 193, 195, 197) คู่มือข้อ 2.4 ให้พิมพ์</w:t>
      </w:r>
      <w:r>
        <w:t xml:space="preserve"> </w:t>
      </w:r>
      <w:r>
        <w:t xml:space="preserve">“ไว้กึ่งกลางหน้า”</w:t>
      </w:r>
    </w:p>
    <w:p>
      <w:pPr>
        <w:pStyle w:val="Compact"/>
        <w:numPr>
          <w:ilvl w:val="1"/>
          <w:numId w:val="1013"/>
        </w:numPr>
      </w:pPr>
      <w:r>
        <w:t xml:space="preserve">ขอคำแนะนำจากอาจารย์ว่าต้องแยกหน้าคั่นของแต่ละภาคผนวกหรือไม่ (เพิ่ม 8 หน้า)</w:t>
      </w:r>
    </w:p>
    <w:p>
      <w:pPr>
        <w:pStyle w:val="Compact"/>
        <w:numPr>
          <w:ilvl w:val="0"/>
          <w:numId w:val="1011"/>
        </w:numPr>
      </w:pPr>
      <w:r>
        <w:t xml:space="preserve">ความสอดคล้องของเนื้อหากับซอร์สโค้ดและหลักฐาน:</w:t>
      </w:r>
    </w:p>
    <w:p>
      <w:pPr>
        <w:pStyle w:val="Compact"/>
        <w:numPr>
          <w:ilvl w:val="1"/>
          <w:numId w:val="1014"/>
        </w:numPr>
      </w:pPr>
      <w:r>
        <w:t xml:space="preserve">หัวข้อ 4.3.4 (หน้า 97) บอกว่าติดตั้งระบบใหม่วันที่ 19 ต.ค. ข้อมูลการขายวันที่ 16–18 ต.ค. จึงเหลือเพียงใบบันทึกผล แต่ภาคผนวก ซ.3 (หน้า 202) บอกว่าปรับฐานข้อมูลโดยข้อมูลเดิมไม่สูญหาย ผู้จัดทำจะยืนยันเหตุการณ์จริงแล้วเขียนให้สอดคล้องกัน</w:t>
      </w:r>
    </w:p>
    <w:p>
      <w:pPr>
        <w:pStyle w:val="Compact"/>
        <w:numPr>
          <w:ilvl w:val="1"/>
          <w:numId w:val="1014"/>
        </w:numPr>
      </w:pPr>
      <w:r>
        <w:t xml:space="preserve">TC-13 (หน้า 72, 92, 186) แผนบอกให้บันทึกเวลาเฉลี่ยและสูงสุด แต่ผลรายงานเฉพาะมัธยฐาน 6 มิลลิวินาที ไฟล์ผลวัดมีมัธยฐาน 6 เปอร์เซ็นไทล์ที่ 95 เท่ากับ 43 และสูงสุด 1,026 มิลลิวินาที จะแก้แผนเป็นมัธยฐานและสูงสุด และรายงานค่าสูงสุดด้วย</w:t>
      </w:r>
    </w:p>
    <w:p>
      <w:pPr>
        <w:pStyle w:val="Compact"/>
        <w:numPr>
          <w:ilvl w:val="1"/>
          <w:numId w:val="1014"/>
        </w:numPr>
      </w:pPr>
      <w:r>
        <w:t xml:space="preserve">UAT-05 (หน้า 97) บันทึกว่าผ่าน แต่ไม่มีตัวเลขการนับสต็อก ขณะที่ตารางที่ 5.3 บอกว่ายังไม่ได้นับสินค้าจริงเทียบกับระบบ จะปรับผลและบทคัดย่อให้ตรงกัน</w:t>
      </w:r>
    </w:p>
    <w:p>
      <w:pPr>
        <w:pStyle w:val="Compact"/>
        <w:numPr>
          <w:ilvl w:val="1"/>
          <w:numId w:val="1014"/>
        </w:numPr>
      </w:pPr>
      <w:r>
        <w:t xml:space="preserve">ประโยคหน้า 91 อ่านเหมือนเวลา 15.0 วินาทีเป็นของ TC-06 และ TC-07 แต่เป็นเวลาของการทดสอบระดับระบบ</w:t>
      </w:r>
    </w:p>
    <w:p>
      <w:pPr>
        <w:pStyle w:val="Compact"/>
        <w:numPr>
          <w:ilvl w:val="1"/>
          <w:numId w:val="1014"/>
        </w:numPr>
      </w:pPr>
      <w:r>
        <w:t xml:space="preserve">ข้อความที่ยกมาใน E1 ของ UC-07 (หน้า 143) ไม่ตรงกับข้อความบนหน้าจอจริง</w:t>
      </w:r>
    </w:p>
    <w:p>
      <w:pPr>
        <w:pStyle w:val="Compact"/>
        <w:numPr>
          <w:ilvl w:val="1"/>
          <w:numId w:val="1014"/>
        </w:numPr>
      </w:pPr>
      <w:r>
        <w:t xml:space="preserve">NFR-07 ระบุโครม แต่ทดสอบด้วยโครเมียม 153 (ตารางที่ 4.9 และ 4.11) จะระบุว่าโครเมียมเป็นเอนจินเดียวกับโครม</w:t>
      </w:r>
    </w:p>
    <w:p>
      <w:pPr>
        <w:pStyle w:val="Compact"/>
        <w:numPr>
          <w:ilvl w:val="1"/>
          <w:numId w:val="1014"/>
        </w:numPr>
      </w:pPr>
      <w:r>
        <w:t xml:space="preserve">นิยามจุดสั่งซื้อเพิ่ม (หน้า 13)</w:t>
      </w:r>
      <w:r>
        <w:t xml:space="preserve"> </w:t>
      </w:r>
      <w:r>
        <w:t xml:space="preserve">“เมื่อลดลงถึงระดับนี้”</w:t>
      </w:r>
      <w:r>
        <w:t xml:space="preserve"> </w:t>
      </w:r>
      <w:r>
        <w:t xml:space="preserve">แต่ระบบแจ้งเตือนเมื่อต่ำกว่าจุดสั่งซื้อเพิ่ม</w:t>
      </w:r>
    </w:p>
    <w:p>
      <w:pPr>
        <w:pStyle w:val="Compact"/>
        <w:numPr>
          <w:ilvl w:val="1"/>
          <w:numId w:val="1014"/>
        </w:numPr>
      </w:pPr>
      <w:r>
        <w:t xml:space="preserve">AC-13 (คิวค้าง) ผูกกับ EV-09 (สินค้าใกล้หมด) ในตารางที่ 3.12 ควรผูกกับ EV-03 และ EV-04</w:t>
      </w:r>
    </w:p>
    <w:p>
      <w:pPr>
        <w:pStyle w:val="Compact"/>
        <w:numPr>
          <w:ilvl w:val="1"/>
          <w:numId w:val="1014"/>
        </w:numPr>
      </w:pPr>
      <w:r>
        <w:t xml:space="preserve">ความเห็นในซอร์สโค้ดอ้างเลขตารางและหัวข้อของเล่มฉบับเก่า เช่น</w:t>
      </w:r>
      <w:r>
        <w:t xml:space="preserve"> </w:t>
      </w:r>
      <w:r>
        <w:t xml:space="preserve">“ตารางที่ 3.13”</w:t>
      </w:r>
      <w:r>
        <w:t xml:space="preserve"> </w:t>
      </w:r>
      <w:r>
        <w:t xml:space="preserve">ซึ่งผู้ตรวจจะเปิดดูตามภาคผนวก ฉ จะแก้ให้ตรงเลขในเล่มปัจจุบัน</w:t>
      </w:r>
    </w:p>
    <w:bookmarkEnd w:id="11"/>
    <w:bookmarkStart w:id="12" w:name="บรรณานกรม-bibliography"/>
    <w:p>
      <w:pPr>
        <w:pStyle w:val="Heading1"/>
      </w:pPr>
      <w:r>
        <w:t xml:space="preserve">4. บรรณานุกรม (Bibliography)</w:t>
      </w:r>
    </w:p>
    <w:p>
      <w:pPr>
        <w:pStyle w:val="FirstParagraph"/>
      </w:pPr>
      <w:r>
        <w:t xml:space="preserve">เล่มใช้รูปแบบ CMS แบบตัวเลขรูปแบบเดียว อ้างอิงครบ 33 รายการ เรียงตามลำดับการอ้างถึง และทุกรายการถูกอ้างในเนื้อความ</w:t>
      </w:r>
    </w:p>
    <w:p>
      <w:pPr>
        <w:pStyle w:val="BodyText"/>
      </w:pPr>
      <w:r>
        <w:t xml:space="preserve">จุดที่ต้องปรับปรุง:</w:t>
      </w:r>
    </w:p>
    <w:p>
      <w:pPr>
        <w:pStyle w:val="Compact"/>
        <w:numPr>
          <w:ilvl w:val="0"/>
          <w:numId w:val="1015"/>
        </w:numPr>
      </w:pPr>
      <w:r>
        <w:t xml:space="preserve">การอ้างอิงมาตรฐาน [20] มอก. 620 [21] EMVCo [23] ISO/IEC 25010 และ [24] OWASP (หน้า 115–116) ยังไม่อยู่ในรูปแบบ</w:t>
      </w:r>
      <w:r>
        <w:t xml:space="preserve"> </w:t>
      </w:r>
      <w:r>
        <w:t xml:space="preserve">“หน่วยงาน. ปี. ชื่อมาตรฐาน, หมายเลข. สถานที่: ผู้พิมพ์.”</w:t>
      </w:r>
      <w:r>
        <w:t xml:space="preserve"> </w:t>
      </w:r>
      <w:r>
        <w:t xml:space="preserve">ตามคู่มือข้อ 2.3.1.8</w:t>
      </w:r>
    </w:p>
    <w:p>
      <w:pPr>
        <w:pStyle w:val="Compact"/>
        <w:numPr>
          <w:ilvl w:val="1"/>
          <w:numId w:val="1016"/>
        </w:numPr>
      </w:pPr>
      <w:r>
        <w:t xml:space="preserve">การแก้ไข: จัดรูปแบบใหม่ตามตัวอย่างในคู่มือ เช่น</w:t>
      </w:r>
      <w:r>
        <w:t xml:space="preserve"> </w:t>
      </w:r>
      <w:r>
        <w:t xml:space="preserve">“International Organization for Standardization, International Electrotechnical Commission. 2011. Systems and software engineering — System and software quality models, ISO/IEC 25010:2011. Geneva: ISO.”</w:t>
      </w:r>
    </w:p>
    <w:p>
      <w:pPr>
        <w:pStyle w:val="Compact"/>
        <w:numPr>
          <w:ilvl w:val="0"/>
          <w:numId w:val="1015"/>
        </w:numPr>
      </w:pPr>
      <w:r>
        <w:t xml:space="preserve">หัวข้อ 2.5 และตารางที่ 2.5 (หน้า 22–25) เขียน</w:t>
      </w:r>
      <w:r>
        <w:t xml:space="preserve"> </w:t>
      </w:r>
      <w:r>
        <w:t xml:space="preserve">“ชื่อผู้แต่ง (ปี) [เลข]”</w:t>
      </w:r>
      <w:r>
        <w:t xml:space="preserve"> </w:t>
      </w:r>
      <w:r>
        <w:t xml:space="preserve">ซึ่งปนรูปแบบ APA กับ CMS และเว้นวรรคหลังคำว่า</w:t>
      </w:r>
      <w:r>
        <w:t xml:space="preserve"> </w:t>
      </w:r>
      <w:r>
        <w:t xml:space="preserve">“และ”</w:t>
      </w:r>
      <w:r>
        <w:t xml:space="preserve"> </w:t>
      </w:r>
      <w:r>
        <w:t xml:space="preserve">ไม่เหมือนกัน</w:t>
      </w:r>
    </w:p>
    <w:p>
      <w:pPr>
        <w:pStyle w:val="Compact"/>
        <w:numPr>
          <w:ilvl w:val="1"/>
          <w:numId w:val="1017"/>
        </w:numPr>
      </w:pPr>
      <w:r>
        <w:t xml:space="preserve">การแก้ไข: ใช้เฉพาะเลขอ้างอิง และเขียนชื่อผู้แต่งแบบเดียวกัน</w:t>
      </w:r>
    </w:p>
    <w:p>
      <w:pPr>
        <w:pStyle w:val="Compact"/>
        <w:numPr>
          <w:ilvl w:val="0"/>
          <w:numId w:val="1015"/>
        </w:numPr>
      </w:pPr>
      <w:r>
        <w:t xml:space="preserve">คำว่า [online] ใส่ไม่ครบทุกแหล่งออนไลน์ ([8] [14] [26] [29] [30])</w:t>
      </w:r>
    </w:p>
    <w:p>
      <w:pPr>
        <w:pStyle w:val="Compact"/>
        <w:numPr>
          <w:ilvl w:val="0"/>
          <w:numId w:val="1015"/>
        </w:numPr>
      </w:pPr>
      <w:r>
        <w:t xml:space="preserve">ชื่อผู้แต่งของ [16] ควรเป็น OpenJS Foundation และชื่อวารสารของ [11] คือ Computer</w:t>
      </w:r>
    </w:p>
    <w:bookmarkEnd w:id="12"/>
    <w:bookmarkStart w:id="13" w:name="สรป"/>
    <w:p>
      <w:pPr>
        <w:pStyle w:val="Heading1"/>
      </w:pPr>
      <w:r>
        <w:t xml:space="preserve">สรุป</w:t>
      </w:r>
    </w:p>
    <w:p>
      <w:pPr>
        <w:pStyle w:val="FirstParagraph"/>
      </w:pPr>
      <w:r>
        <w:t xml:space="preserve">พบประเด็นที่ต้องแก้ 23 ข้อ ส่วนใหญ่เป็นการตัดคำ การทับศัพท์ และรูปแบบการอ้างอิงมาตรฐาน ซึ่งผู้จัดทำจะแก้ทั้งหมดก่อนเข้าเล่ม มีสองข้อที่ขอคำแนะนำจากอาจารย์ คือ หน้าคั่นของแต่ละภาคผนวก และการเขียนผล UAT-05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sz w:val="32"/>
        <w:szCs w:val="3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 New" w:cs="TH Sarabun New" w:eastAsia="TH Sarabun New" w:hAnsi="TH Sarabun New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 New" w:cs="TH Sarabun New" w:eastAsia="TH Sarabun New" w:hAnsi="TH Sarabun New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 New" w:cs="TH Sarabun New" w:eastAsia="TH Sarabun New" w:hAnsi="TH Sarabun New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 New" w:cs="TH Sarabun New" w:eastAsia="TH Sarabun New" w:hAnsi="TH Sarabun New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 New" w:cs="TH Sarabun New" w:eastAsia="TH Sarabun New" w:hAnsi="TH Sarabun New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 New" w:cs="TH Sarabun New" w:eastAsia="TH Sarabun New" w:hAnsi="TH Sarabun New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 New" w:cs="TH Sarabun New" w:eastAsia="TH Sarabun New" w:hAnsi="TH Sarabun New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 New" w:cs="TH Sarabun New" w:eastAsia="TH Sarabun New" w:hAnsi="TH Sarabun New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 New" w:cs="TH Sarabun New" w:eastAsia="TH Sarabun New" w:hAnsi="TH Sarabun New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 New" w:cs="TH Sarabun New" w:eastAsia="TH Sarabun New" w:hAnsi="TH Sarabun New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 New" w:cs="TH Sarabun New" w:eastAsia="TH Sarabun New" w:hAnsi="TH Sarabun New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 New" w:cs="TH Sarabun New" w:eastAsia="TH Sarabun New" w:hAnsi="TH Sarabun New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 New" w:cs="TH Sarabun New" w:eastAsia="TH Sarabun New" w:hAnsi="TH Sarabun New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 New" w:cs="TH Sarabun New" w:eastAsia="TH Sarabun New" w:hAnsi="TH Sarabun New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 New" w:cs="TH Sarabun New" w:eastAsia="TH Sarabun New" w:hAnsi="TH Sarabun New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 New" w:cs="TH Sarabun New" w:eastAsia="TH Sarabun New" w:hAnsi="TH Sarabun New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 New" w:cs="TH Sarabun New" w:eastAsia="TH Sarabun New" w:hAnsi="TH Sarabun New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 New" w:cs="TH Sarabun New" w:eastAsia="TH Sarabun New" w:hAnsi="TH Sarabun New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 New" w:cs="TH Sarabun New" w:eastAsia="TH Sarabun New" w:hAnsi="TH Sarabun New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 New" w:cs="TH Sarabun New" w:eastAsia="TH Sarabun New" w:hAnsi="TH Sarabun New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 New" w:cs="TH Sarabun New" w:eastAsia="TH Sarabun New" w:hAnsi="TH Sarabun New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 New" w:cs="TH Sarabun New" w:eastAsia="TH Sarabun New" w:hAnsi="TH Sarabun New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cs="TH Sarabun New" w:eastAsia="TH Sarabun New" w:hAnsi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cs="TH Sarabun New" w:eastAsia="TH Sarabun New" w:hAnsi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2026-10-21T13:37:54Z</dcterms:created>
  <dcterms:modified xsi:type="dcterms:W3CDTF">2026-10-21T13:37:54Z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