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222f189a74b5f2a22847718d0313fa213875120"/>
    <w:p>
      <w:pPr>
        <w:pStyle w:val="Heading1"/>
      </w:pPr>
      <w:r>
        <w:t xml:space="preserve">ผลการตรวจความเรียบร้อยและความสอดคล้องของบทที่ 1–5</w:t>
      </w:r>
    </w:p>
    <w:p>
      <w:pPr>
        <w:pStyle w:val="FirstParagraph"/>
      </w:pPr>
      <w:r>
        <w:t xml:space="preserve">ตรวจเมื่อ 29 กันยายน 2569 · ไฟล์ที่ตรวจคือ</w:t>
      </w:r>
      <w:r>
        <w:t xml:space="preserve"> </w:t>
      </w:r>
      <w:r>
        <w:rPr>
          <w:rStyle w:val="VerbatimChar"/>
        </w:rPr>
        <w:t xml:space="preserve">Documents/รูปเล่ม/บทที่1–5_ฉบับตรวจแก้.md</w:t>
      </w:r>
      <w:r>
        <w:t xml:space="preserve"> </w:t>
      </w:r>
      <w:r>
        <w:t xml:space="preserve">ฉบับที่อยู่ในโฟลเดอร์</w:t>
      </w:r>
      <w:r>
        <w:t xml:space="preserve"> </w:t>
      </w:r>
      <w:r>
        <w:rPr>
          <w:rStyle w:val="VerbatimChar"/>
        </w:rPr>
        <w:t xml:space="preserve">ตรวจแล้ว</w:t>
      </w:r>
    </w:p>
    <w:bookmarkStart w:id="9" w:name="สงทตรวจและผล"/>
    <w:p>
      <w:pPr>
        <w:pStyle w:val="Heading2"/>
      </w:pPr>
      <w:r>
        <w:t xml:space="preserve">1. สิ่งที่ตรวจและผล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เรื่องที่ตรวจ</w:t>
            </w:r>
          </w:p>
        </w:tc>
        <w:tc>
          <w:tcPr/>
          <w:p>
            <w:pPr>
              <w:pStyle w:val="Compact"/>
            </w:pPr>
            <w:r>
              <w:t xml:space="preserve">วิธีตรวจ</w:t>
            </w:r>
          </w:p>
        </w:tc>
        <w:tc>
          <w:tcPr/>
          <w:p>
            <w:pPr>
              <w:pStyle w:val="Compact"/>
            </w:pPr>
            <w:r>
              <w:t xml:space="preserve">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เลขหัวข้อ ตาราง และรูป เรียงต่อเนื่องในทุกบท</w:t>
            </w:r>
          </w:p>
        </w:tc>
        <w:tc>
          <w:tcPr/>
          <w:p>
            <w:pPr>
              <w:pStyle w:val="Compact"/>
            </w:pPr>
            <w:r>
              <w:t xml:space="preserve">สคริปต์ไล่นับทุกบท</w:t>
            </w:r>
          </w:p>
        </w:tc>
        <w:tc>
          <w:tcPr/>
          <w:p>
            <w:pPr>
              <w:pStyle w:val="Compact"/>
            </w:pPr>
            <w:r>
              <w:t xml:space="preserve">ต่อเนื่องครบ บท 1 ตาราง 1 · บท 2 ตาราง 1 รูป 4 · บท 3 ตาราง 23 รูป 19 · บท 4 ตาราง 8 รูป 13 · บท 5 ตาราง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การอ้าง</w:t>
            </w:r>
            <w:r>
              <w:t xml:space="preserve"> </w:t>
            </w:r>
            <w:r>
              <w:t xml:space="preserve">“หัวข้อ … ตารางที่ … รูปที่ …”</w:t>
            </w:r>
            <w:r>
              <w:t xml:space="preserve"> </w:t>
            </w:r>
            <w:r>
              <w:t xml:space="preserve">ชี้ไปของที่มีจริง</w:t>
            </w:r>
          </w:p>
        </w:tc>
        <w:tc>
          <w:tcPr/>
          <w:p>
            <w:pPr>
              <w:pStyle w:val="Compact"/>
            </w:pPr>
            <w:r>
              <w:t xml:space="preserve">สคริปต์ตรวจทุกการอ้าง</w:t>
            </w:r>
          </w:p>
        </w:tc>
        <w:tc>
          <w:tcPr/>
          <w:p>
            <w:pPr>
              <w:pStyle w:val="Compact"/>
            </w:pPr>
            <w:r>
              <w:t xml:space="preserve">ไม่มีการอ้างที่หาไม่เจอ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ตารางและรูปทุกชิ้นถูกอ้างในเนื้อหา</w:t>
            </w:r>
          </w:p>
        </w:tc>
        <w:tc>
          <w:tcPr/>
          <w:p>
            <w:pPr>
              <w:pStyle w:val="Compact"/>
            </w:pPr>
            <w:r>
              <w:t xml:space="preserve">สคริปต์ตรวจ</w:t>
            </w:r>
          </w:p>
        </w:tc>
        <w:tc>
          <w:tcPr/>
          <w:p>
            <w:pPr>
              <w:pStyle w:val="Compact"/>
            </w:pPr>
            <w:r>
              <w:t xml:space="preserve">เดิมขาด 20 ชิ้น แก้แล้ว (ดูข้อ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 EV FR NFR BR US UC AC TC ใช้ช่วงเดียวกันทุกบท</w:t>
            </w:r>
          </w:p>
        </w:tc>
        <w:tc>
          <w:tcPr/>
          <w:p>
            <w:pPr>
              <w:pStyle w:val="Compact"/>
            </w:pPr>
            <w:r>
              <w:t xml:space="preserve">นับรหัสที่ปรากฏในแต่ละบท</w:t>
            </w:r>
          </w:p>
        </w:tc>
        <w:tc>
          <w:tcPr/>
          <w:p>
            <w:pPr>
              <w:pStyle w:val="Compact"/>
            </w:pPr>
            <w:r>
              <w:t xml:space="preserve">ตรงกัน EV 9 · FR 9 · NFR 9 · BR 5 · US 6 · UC 11 · AC 11 · TC 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ตัวเลขในเล่มตรงกับไฟล์หลักฐานใน</w:t>
            </w:r>
            <w:r>
              <w:t xml:space="preserve"> </w:t>
            </w:r>
            <w:r>
              <w:rPr>
                <w:rStyle w:val="VerbatimChar"/>
              </w:rPr>
              <w:t xml:space="preserve">soml/evidence</w:t>
            </w:r>
          </w:p>
        </w:tc>
        <w:tc>
          <w:tcPr/>
          <w:p>
            <w:pPr>
              <w:pStyle w:val="Compact"/>
            </w:pPr>
            <w:r>
              <w:t xml:space="preserve">เปิดไฟล์หลักฐานเทียบทีละตัว</w:t>
            </w:r>
          </w:p>
        </w:tc>
        <w:tc>
          <w:tcPr/>
          <w:p>
            <w:pPr>
              <w:pStyle w:val="Compact"/>
            </w:pPr>
            <w:r>
              <w:t xml:space="preserve">ตรง ยกเว้นสองจุดที่แก้แล้ว (ดูข้อ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ตัวเลขที่บทที่ 4 บอกว่า</w:t>
            </w:r>
            <w:r>
              <w:t xml:space="preserve"> </w:t>
            </w:r>
            <w:r>
              <w:t xml:space="preserve">“ครบ”</w:t>
            </w:r>
            <w:r>
              <w:t xml:space="preserve"> </w:t>
            </w:r>
            <w:r>
              <w:t xml:space="preserve">ตรงกับบทที่ 3 และโค้ด</w:t>
            </w:r>
          </w:p>
        </w:tc>
        <w:tc>
          <w:tcPr/>
          <w:p>
            <w:pPr>
              <w:pStyle w:val="Compact"/>
            </w:pPr>
            <w:r>
              <w:t xml:space="preserve">นับแถวตารางบทที่ 3 และนับในโค้ด</w:t>
            </w:r>
          </w:p>
        </w:tc>
        <w:tc>
          <w:tcPr/>
          <w:p>
            <w:pPr>
              <w:pStyle w:val="Compact"/>
            </w:pPr>
            <w:r>
              <w:t xml:space="preserve">10 โมดูล · 7 ตาราง · 9 หน้าจอ · 4 หน่วยติดตั้ง · 19 เส้นทาง ตรงกันทั้งหมด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เทคโนโลยีที่บทที่ 2 บอกว่าใช้ มีอยู่ในโค้ดจริง</w:t>
            </w:r>
          </w:p>
        </w:tc>
        <w:tc>
          <w:tcPr/>
          <w:p>
            <w:pPr>
              <w:pStyle w:val="Compact"/>
            </w:pPr>
            <w:r>
              <w:t xml:space="preserve">เทียบกับ package.json</w:t>
            </w:r>
          </w:p>
        </w:tc>
        <w:tc>
          <w:tcPr/>
          <w:p>
            <w:pPr>
              <w:pStyle w:val="Compact"/>
            </w:pPr>
            <w:r>
              <w:t xml:space="preserve">ตรงกันทุกตัว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ชื่อสถานะคำสั่งซื้อ</w:t>
            </w:r>
          </w:p>
        </w:tc>
        <w:tc>
          <w:tcPr/>
          <w:p>
            <w:pPr>
              <w:pStyle w:val="Compact"/>
            </w:pPr>
            <w:r>
              <w:t xml:space="preserve">เทียบบทที่ 1 บทที่ 3 และแผนภาพสถานะ</w:t>
            </w:r>
          </w:p>
        </w:tc>
        <w:tc>
          <w:tcPr/>
          <w:p>
            <w:pPr>
              <w:pStyle w:val="Compact"/>
            </w:pPr>
            <w:r>
              <w:t xml:space="preserve">ตรงกัน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วัตถุประสงค์ในบทที่ 1 กับการบรรลุในบทที่ 5</w:t>
            </w:r>
          </w:p>
        </w:tc>
        <w:tc>
          <w:tcPr/>
          <w:p>
            <w:pPr>
              <w:pStyle w:val="Compact"/>
            </w:pPr>
            <w:r>
              <w:t xml:space="preserve">เทียบข้อ 1.2.1–1.2.4 กับตารางที่ 5.3</w:t>
            </w:r>
          </w:p>
        </w:tc>
        <w:tc>
          <w:tcPr/>
          <w:p>
            <w:pPr>
              <w:pStyle w:val="Compact"/>
            </w:pPr>
            <w:r>
              <w:t xml:space="preserve">ครบทั้งสี่ข้อ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ผลทดสอบยังเป็นจริงในวันที่ตรวจ</w:t>
            </w:r>
          </w:p>
        </w:tc>
        <w:tc>
          <w:tcPr/>
          <w:p>
            <w:pPr>
              <w:pStyle w:val="Compact"/>
            </w:pPr>
            <w:r>
              <w:t xml:space="preserve">รันใหม่</w:t>
            </w:r>
          </w:p>
        </w:tc>
        <w:tc>
          <w:tcPr/>
          <w:p>
            <w:pPr>
              <w:pStyle w:val="Compact"/>
            </w:pPr>
            <w:r>
              <w:t xml:space="preserve">ทดสอบอัตโนมัติ 134 ข้อผ่าน ความครอบคลุมร้อยละ 89.93 · ทดสอบระดับระบบ 13 ข้อผ่าน 3 รอบติดกัน</w:t>
            </w:r>
          </w:p>
        </w:tc>
      </w:tr>
    </w:tbl>
    <w:bookmarkEnd w:id="9"/>
    <w:bookmarkStart w:id="10" w:name="สงทแกระหวางตรวจ"/>
    <w:p>
      <w:pPr>
        <w:pStyle w:val="Heading2"/>
      </w:pPr>
      <w:r>
        <w:t xml:space="preserve">2. สิ่งที่แก้ระหว่างตรวจ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ที่</w:t>
            </w:r>
          </w:p>
        </w:tc>
        <w:tc>
          <w:tcPr/>
          <w:p>
            <w:pPr>
              <w:pStyle w:val="Compact"/>
            </w:pPr>
            <w:r>
              <w:t xml:space="preserve">ปัญหาที่พบ</w:t>
            </w:r>
          </w:p>
        </w:tc>
        <w:tc>
          <w:tcPr/>
          <w:p>
            <w:pPr>
              <w:pStyle w:val="Compact"/>
            </w:pPr>
            <w:r>
              <w:t xml:space="preserve">แก้เป็น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หัวข้อ 4.2.5.4</w:t>
            </w:r>
          </w:p>
        </w:tc>
        <w:tc>
          <w:tcPr/>
          <w:p>
            <w:pPr>
              <w:pStyle w:val="Compact"/>
            </w:pPr>
            <w:r>
              <w:t xml:space="preserve">เขียนว่า</w:t>
            </w:r>
            <w:r>
              <w:t xml:space="preserve"> </w:t>
            </w:r>
            <w:r>
              <w:t xml:space="preserve">“สร้างคำสั่งซื้อสำเร็จ 12,546 รายการ”</w:t>
            </w:r>
            <w:r>
              <w:t xml:space="preserve"> </w:t>
            </w:r>
            <w:r>
              <w:t xml:space="preserve">แต่หลักฐาน</w:t>
            </w:r>
            <w:r>
              <w:t xml:space="preserve"> </w:t>
            </w:r>
            <w:r>
              <w:rPr>
                <w:rStyle w:val="VerbatimChar"/>
              </w:rPr>
              <w:t xml:space="preserve">tc13.json</w:t>
            </w:r>
            <w:r>
              <w:t xml:space="preserve"> </w:t>
            </w:r>
            <w:r>
              <w:t xml:space="preserve">คือคำขอทุกชนิดที่สำเร็จ 12,546 ครั้ง จากทั้งหมด 15,383 ครั้ง และอีก 2,837 ครั้งถูกปฏิเสธตามกติกา</w:t>
            </w:r>
          </w:p>
        </w:tc>
        <w:tc>
          <w:tcPr/>
          <w:p>
            <w:pPr>
              <w:pStyle w:val="Compact"/>
            </w:pPr>
            <w:r>
              <w:t xml:space="preserve">เขียนตามหลักฐาน และตัดคำว่า</w:t>
            </w:r>
            <w:r>
              <w:t xml:space="preserve"> </w:t>
            </w:r>
            <w:r>
              <w:t xml:space="preserve">“ไม่มีเลขที่ซ้ำ”</w:t>
            </w:r>
            <w:r>
              <w:t xml:space="preserve"> </w:t>
            </w:r>
            <w:r>
              <w:t xml:space="preserve">ออก เพราะรอบนั้นไม่ได้ตรวจ (ความไม่ซ้ำตรวจใน TC-04)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หัวข้อ 4.2.3</w:t>
            </w:r>
          </w:p>
        </w:tc>
        <w:tc>
          <w:tcPr/>
          <w:p>
            <w:pPr>
              <w:pStyle w:val="Compact"/>
            </w:pPr>
            <w:r>
              <w:t xml:space="preserve">เวลารวม 23.8 วินาทีไม่มีไฟล์หลักฐานรองรับแล้ว เพราะไฟล์ถูกชุดถ่ายภาพหน้าจอเขียนทับตั้งแต่ 27 ก.ย.</w:t>
            </w:r>
          </w:p>
        </w:tc>
        <w:tc>
          <w:tcPr/>
          <w:p>
            <w:pPr>
              <w:pStyle w:val="Compact"/>
            </w:pPr>
            <w:r>
              <w:t xml:space="preserve">รันทดสอบระดับระบบใหม่ ได้ 13 ข้อผ่าน 15.8 วินาที เก็บเป็นหลักฐานใหม่ และแก้ตัวเลขในเล่ม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ใต้ตารางที่ 4.8</w:t>
            </w:r>
          </w:p>
        </w:tc>
        <w:tc>
          <w:tcPr/>
          <w:p>
            <w:pPr>
              <w:pStyle w:val="Compact"/>
            </w:pPr>
            <w:r>
              <w:t xml:space="preserve">นับ NFR ว่าผ่าน 8 จาก 9 ทั้งที่ NFR-07 ในตารางเป็น</w:t>
            </w:r>
            <w:r>
              <w:t xml:space="preserve"> </w:t>
            </w:r>
            <w:r>
              <w:t xml:space="preserve">“ผ่านบางส่วน”</w:t>
            </w:r>
          </w:p>
        </w:tc>
        <w:tc>
          <w:tcPr/>
          <w:p>
            <w:pPr>
              <w:pStyle w:val="Compact"/>
            </w:pPr>
            <w:r>
              <w:t xml:space="preserve">ผ่านครบ 7 ข้อ · NFR-07 ผ่านบางส่วน · NFR-09 ยังไม่ทวนสอบ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3 ตารางที่ 3.18</w:t>
            </w:r>
          </w:p>
        </w:tc>
        <w:tc>
          <w:tcPr/>
          <w:p>
            <w:pPr>
              <w:pStyle w:val="Compact"/>
            </w:pPr>
            <w:r>
              <w:t xml:space="preserve">ไม่มีเส้นทาง</w:t>
            </w:r>
            <w:r>
              <w:t xml:space="preserve"> </w:t>
            </w:r>
            <w:r>
              <w:rPr>
                <w:rStyle w:val="VerbatimChar"/>
              </w:rPr>
              <w:t xml:space="preserve">GET /api/orders/:id</w:t>
            </w:r>
            <w:r>
              <w:t xml:space="preserve"> </w:t>
            </w:r>
            <w:r>
              <w:t xml:space="preserve">ที่หน้ายืนยันจ่ายสินค้าใช้</w:t>
            </w:r>
          </w:p>
        </w:tc>
        <w:tc>
          <w:tcPr/>
          <w:p>
            <w:pPr>
              <w:pStyle w:val="Compact"/>
            </w:pPr>
            <w:r>
              <w:t xml:space="preserve">เติมในแถว UC-07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5 หัวข้อ 5.3.1.5 (ใหม่)</w:t>
            </w:r>
          </w:p>
        </w:tc>
        <w:tc>
          <w:tcPr/>
          <w:p>
            <w:pPr>
              <w:pStyle w:val="Compact"/>
            </w:pPr>
            <w:r>
              <w:t xml:space="preserve">บทที่ 3 ออกแบบให้เชื่อมต่อผ่าน HTTPS แต่ระบบที่ทดสอบใช้ HTTP</w:t>
            </w:r>
          </w:p>
        </w:tc>
        <w:tc>
          <w:tcPr/>
          <w:p>
            <w:pPr>
              <w:pStyle w:val="Compact"/>
            </w:pPr>
            <w:r>
              <w:t xml:space="preserve">เพิ่มข้อเสนอแนะให้เปิด HTTPS ก่อนใช้งานจริง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5 หัวข้อ 5.3.2.4</w:t>
            </w:r>
          </w:p>
        </w:tc>
        <w:tc>
          <w:tcPr/>
          <w:p>
            <w:pPr>
              <w:pStyle w:val="Compact"/>
            </w:pPr>
            <w:r>
              <w:t xml:space="preserve">ไม่ได้พูดถึง NFR-07 ที่ยังทวนสอบไม่ครบ</w:t>
            </w:r>
          </w:p>
        </w:tc>
        <w:tc>
          <w:tcPr/>
          <w:p>
            <w:pPr>
              <w:pStyle w:val="Compact"/>
            </w:pPr>
            <w:r>
              <w:t xml:space="preserve">เพิ่มให้ทดสอบบน Edge และ Firefox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1 ตารางที่ 1.1 · บทที่ 2 รูปที่ 2.1–2.4 · บทที่ 3 ตารางที่ 3.4 3.5 3.7 3.8 3.9 3.10 3.15 3.16 3.17 3.19 และรูปที่ 3.2–3.5 3.9</w:t>
            </w:r>
          </w:p>
        </w:tc>
        <w:tc>
          <w:tcPr/>
          <w:p>
            <w:pPr>
              <w:pStyle w:val="Compact"/>
            </w:pPr>
            <w:r>
              <w:t xml:space="preserve">ไม่มีประโยคอ้างถึงในเนื้อหา</w:t>
            </w:r>
          </w:p>
        </w:tc>
        <w:tc>
          <w:tcPr/>
          <w:p>
            <w:pPr>
              <w:pStyle w:val="Compact"/>
            </w:pPr>
            <w:r>
              <w:t xml:space="preserve">เติมประโยคสั้น</w:t>
            </w:r>
            <w:r>
              <w:t xml:space="preserve"> </w:t>
            </w:r>
            <w:r>
              <w:t xml:space="preserve">“…แสดงดังตารางที่/รูปที่ …”</w:t>
            </w:r>
            <w:r>
              <w:t xml:space="preserve"> </w:t>
            </w:r>
            <w:r>
              <w:t xml:space="preserve">ไม่ได้เพิ่มเนื้อหาใหม่</w:t>
            </w:r>
          </w:p>
        </w:tc>
      </w:tr>
    </w:tbl>
    <w:bookmarkEnd w:id="10"/>
    <w:bookmarkStart w:id="11" w:name="แกเพมรอบทสอง-29-ก.ย.-69"/>
    <w:p>
      <w:pPr>
        <w:pStyle w:val="Heading2"/>
      </w:pPr>
      <w:r>
        <w:t xml:space="preserve">3. แก้เพิ่มรอบที่สอง (29 ก.ย. 69)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ที่</w:t>
            </w:r>
          </w:p>
        </w:tc>
        <w:tc>
          <w:tcPr/>
          <w:p>
            <w:pPr>
              <w:pStyle w:val="Compact"/>
            </w:pPr>
            <w:r>
              <w:t xml:space="preserve">สิ่งที่แก้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3 ตารางที่ 3.11</w:t>
            </w:r>
          </w:p>
        </w:tc>
        <w:tc>
          <w:tcPr/>
          <w:p>
            <w:pPr>
              <w:pStyle w:val="Compact"/>
            </w:pPr>
            <w:r>
              <w:t xml:space="preserve">เพิ่ม AC-12 ถึง AC-15 ให้ตรงกับ Use Case X และชุดทดสอบ และเปลี่ยนชื่อตารางเป็น</w:t>
            </w:r>
            <w:r>
              <w:t xml:space="preserve"> </w:t>
            </w:r>
            <w:r>
              <w:t xml:space="preserve">“เกณฑ์การยอมรับของระบบ”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3 ตารางที่ 3.12 และ 3.23</w:t>
            </w:r>
          </w:p>
        </w:tc>
        <w:tc>
          <w:tcPr/>
          <w:p>
            <w:pPr>
              <w:pStyle w:val="Compact"/>
            </w:pPr>
            <w:r>
              <w:t xml:space="preserve">เพิ่ม AC-12 ที่ EV-02 · AC-13 ที่ EV-09 และ TC-10 · AC-14 ที่ TC-12 · AC-15 ที่ TC-13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ตารางที่ 4.4</w:t>
            </w:r>
          </w:p>
        </w:tc>
        <w:tc>
          <w:tcPr/>
          <w:p>
            <w:pPr>
              <w:pStyle w:val="Compact"/>
            </w:pPr>
            <w:r>
              <w:t xml:space="preserve">ข้อทดสอบการเข้าสู่ระบบอ้าง AC-12 ตามชื่อในชุดทดสอบ สรุปเป็น AC-01 ถึง AC-12 ครบ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NFR-07</w:t>
            </w:r>
          </w:p>
        </w:tc>
        <w:tc>
          <w:tcPr/>
          <w:p>
            <w:pPr>
              <w:pStyle w:val="Compact"/>
            </w:pPr>
            <w:r>
              <w:t xml:space="preserve">รันทดสอบระดับระบบบน Firefox 155 ผ่านครบ 13 ข้อ หลักฐานอยู่ที่</w:t>
            </w:r>
            <w:r>
              <w:t xml:space="preserve"> </w:t>
            </w:r>
            <w:r>
              <w:rPr>
                <w:rStyle w:val="VerbatimChar"/>
              </w:rPr>
              <w:t xml:space="preserve">soml/evidence/system-test-firefox.json</w:t>
            </w:r>
            <w:r>
              <w:t xml:space="preserve"> </w:t>
            </w:r>
            <w:r>
              <w:t xml:space="preserve">และทวนสอบด้วยวิธีสาธิตบน Edge 154.0.4258.37 บนเครื่องระบบปฏิบัติการ Windows ทุกหน้าจอทำงานถูกต้อง สถานะเปลี่ยนเป็นผ่าน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ชุดทดสอบ</w:t>
            </w:r>
            <w:r>
              <w:t xml:space="preserve"> </w:t>
            </w:r>
            <w:r>
              <w:rPr>
                <w:rStyle w:val="VerbatimChar"/>
              </w:rPr>
              <w:t xml:space="preserve">tests/system/helpers.js</w:t>
            </w:r>
          </w:p>
        </w:tc>
        <w:tc>
          <w:tcPr/>
          <w:p>
            <w:pPr>
              <w:pStyle w:val="Compact"/>
            </w:pPr>
            <w:r>
              <w:t xml:space="preserve">รับคำตอบ 304 ของการค้นหาสินค้า เดิมรอเฉพาะ 200 ทำให้ Firefox ค้างจนหมดเวลา ตัวระบบทำงานถูกต้องอยู่แล้ว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หัวข้อ 4.2.3</w:t>
            </w:r>
          </w:p>
        </w:tc>
        <w:tc>
          <w:tcPr/>
          <w:p>
            <w:pPr>
              <w:pStyle w:val="Compact"/>
            </w:pPr>
            <w:r>
              <w:t xml:space="preserve">เวลารวมบน Chromium เป็น 15.0 วินาทีตามไฟล์หลักฐานรอบล่าสุด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SRS</w:t>
            </w:r>
          </w:p>
        </w:tc>
        <w:tc>
          <w:tcPr/>
          <w:p>
            <w:pPr>
              <w:pStyle w:val="Compact"/>
            </w:pPr>
            <w:r>
              <w:t xml:space="preserve">เพิ่ม AC-05 และ AC-12 ถึง AC-15 ในตารางทวนสอบและตารางสอบกลับ · NFR-05 เปลี่ยน</w:t>
            </w:r>
            <w:r>
              <w:t xml:space="preserve"> </w:t>
            </w:r>
            <w:r>
              <w:t xml:space="preserve">“เครื่อง TM-T82”</w:t>
            </w:r>
            <w:r>
              <w:t xml:space="preserve"> </w:t>
            </w:r>
            <w:r>
              <w:t xml:space="preserve">เป็น</w:t>
            </w:r>
            <w:r>
              <w:t xml:space="preserve"> </w:t>
            </w:r>
            <w:r>
              <w:t xml:space="preserve">“เครื่องพิมพ์ความร้อนจริง”</w:t>
            </w:r>
            <w:r>
              <w:t xml:space="preserve"> </w:t>
            </w:r>
            <w:r>
              <w:t xml:space="preserve">· เติม 16 หมวดหมู่และเหตุที่แผ่นงานปูนกับอุปกรณ์ช่างไม่ได้นำเข้า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ทุกเอกสาร</w:t>
            </w:r>
          </w:p>
        </w:tc>
        <w:tc>
          <w:tcPr/>
          <w:p>
            <w:pPr>
              <w:pStyle w:val="Compact"/>
            </w:pPr>
            <w:r>
              <w:t xml:space="preserve">ตัดกรณีทดสอบนับสต็อกจริงเทียบกับระบบ (TC-07 เดิม) ออก และเลื่อน TC-08 ถึง TC-14 เป็น TC-07 ถึง TC-13 ในเล่ม SRS Use Case X แผนการทดสอบ และเอกสารประกอบ รวมทั้งเปลี่ยนชื่อไฟล์หลักฐานเป็น</w:t>
            </w:r>
            <w:r>
              <w:t xml:space="preserve"> </w:t>
            </w:r>
            <w:r>
              <w:rPr>
                <w:rStyle w:val="VerbatimChar"/>
              </w:rPr>
              <w:t xml:space="preserve">tc13.json</w:t>
            </w:r>
            <w:r>
              <w:t xml:space="preserve"> </w:t>
            </w:r>
            <w:r>
              <w:t xml:space="preserve">และ</w:t>
            </w:r>
            <w:r>
              <w:t xml:space="preserve"> </w:t>
            </w:r>
            <w:r>
              <w:rPr>
                <w:rStyle w:val="VerbatimChar"/>
              </w:rPr>
              <w:t xml:space="preserve">tc12-receipt.jpg</w:t>
            </w:r>
            <w:r>
              <w:t xml:space="preserve"> </w:t>
            </w:r>
            <w:r>
              <w:t xml:space="preserve">· วัตถุประสงค์ข้อ 1.2.3 ยังเป็นบรรลุบางส่วน เพราะยังไม่ได้นับสินค้าจริงเทียบกับระบบ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TC-12 และบทที่ 5 หัวข้อ 5.2.2.2</w:t>
            </w:r>
          </w:p>
        </w:tc>
        <w:tc>
          <w:tcPr/>
          <w:p>
            <w:pPr>
              <w:pStyle w:val="Compact"/>
            </w:pPr>
            <w:r>
              <w:t xml:space="preserve">ตัดรายละเอียดวิธีจับเวลาออก เหลือผลที่ได้ประมาณ 2.3 วินาที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บทที่ 4 ตารางที่ 4.7 และบทที่ 5</w:t>
            </w:r>
          </w:p>
        </w:tc>
        <w:tc>
          <w:tcPr/>
          <w:p>
            <w:pPr>
              <w:pStyle w:val="Compact"/>
            </w:pPr>
            <w:r>
              <w:t xml:space="preserve">ใส่ผลแบบประเมินความพึงพอใจจริง 3 ฉบับ บทบาทละหนึ่งคน ค่าเฉลี่ยพนักงานขาย 4.67 · คลังสินค้า 4.86 · ผู้จัดการ 4.80 · รวม 4.78 เก็บแบบประเมินไว้ที่</w:t>
            </w:r>
            <w:r>
              <w:t xml:space="preserve"> </w:t>
            </w:r>
            <w:r>
              <w:rPr>
                <w:rStyle w:val="VerbatimChar"/>
              </w:rPr>
              <w:t xml:space="preserve">soml/evidence/survey/</w:t>
            </w:r>
            <w:r>
              <w:t xml:space="preserve"> </w:t>
            </w:r>
            <w:r>
              <w:t xml:space="preserve">· เพิ่มข้อเสนอแนะ 5.3.1.6 การสแกนบาร์โค้ด ตามที่ผู้ใช้เสนอ · ข้อ 5.2.2.3 เปลี่ยนเป็นข้อจำกัดเรื่องผู้ประเมินมีจำนวนน้อย</w:t>
            </w:r>
          </w:p>
        </w:tc>
      </w:tr>
    </w:tbl>
    <w:bookmarkEnd w:id="11"/>
    <w:bookmarkStart w:id="12" w:name="สงทยงคาง"/>
    <w:p>
      <w:pPr>
        <w:pStyle w:val="Heading2"/>
      </w:pPr>
      <w:r>
        <w:t xml:space="preserve">4. สิ่งที่ยังค้าง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เรื่อง</w:t>
            </w:r>
          </w:p>
        </w:tc>
        <w:tc>
          <w:tcPr/>
          <w:p>
            <w:pPr>
              <w:pStyle w:val="Compact"/>
            </w:pPr>
            <w:r>
              <w:t xml:space="preserve">สถานะในเล่ม</w:t>
            </w:r>
          </w:p>
        </w:tc>
        <w:tc>
          <w:tcPr/>
          <w:p>
            <w:pPr>
              <w:pStyle w:val="Compact"/>
            </w:pPr>
            <w:r>
              <w:t xml:space="preserve">ต้องการอะไร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NFR-09 ติดตั้งโดยบุคคลภายนอก</w:t>
            </w:r>
          </w:p>
        </w:tc>
        <w:tc>
          <w:tcPr/>
          <w:p>
            <w:pPr>
              <w:pStyle w:val="Compact"/>
            </w:pPr>
            <w:r>
              <w:t xml:space="preserve">ยังไม่ทวนสอบ</w:t>
            </w:r>
          </w:p>
        </w:tc>
        <w:tc>
          <w:tcPr/>
          <w:p>
            <w:pPr>
              <w:pStyle w:val="Compact"/>
            </w:pPr>
            <w:r>
              <w:t xml:space="preserve">รอการติดตั้งใช้งานจริง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ออกแบบไว้ แต่ยังไม่เปิดใช้</w:t>
            </w:r>
          </w:p>
        </w:tc>
        <w:tc>
          <w:tcPr/>
          <w:p>
            <w:pPr>
              <w:pStyle w:val="Compact"/>
            </w:pPr>
            <w:r>
              <w:t xml:space="preserve">ระบุไว้ในข้อ 5.3.1.5 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ตัวหนาในเนื้อความ</w:t>
            </w:r>
          </w:p>
        </w:tc>
        <w:tc>
          <w:tcPr/>
          <w:p>
            <w:pPr>
              <w:pStyle w:val="Compact"/>
            </w:pPr>
            <w:r>
              <w:t xml:space="preserve">ยังมีบางจุด</w:t>
            </w:r>
          </w:p>
        </w:tc>
        <w:tc>
          <w:tcPr/>
          <w:p>
            <w:pPr>
              <w:pStyle w:val="Compact"/>
            </w:pPr>
            <w:r>
              <w:t xml:space="preserve">ตกลงไว้ว่าจะลบตอนรวมเล่ม</w:t>
            </w:r>
          </w:p>
        </w:tc>
      </w:tr>
    </w:tbl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 New" w:hAnsi="TH Sarabun New" w:cs="TH Sarabun New" w:eastAsia="TH Sarabun New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 New" w:hAnsi="TH Sarabun New" w:cs="TH Sarabun New" w:eastAsia="TH Sarabun New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 New" w:hAnsi="TH Sarabun New" w:cs="TH Sarabun New" w:eastAsia="TH Sarabun New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 New" w:hAnsi="TH Sarabun New" w:cs="TH Sarabun New" w:eastAsia="TH Sarabun New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 New" w:hAnsi="TH Sarabun New" w:cs="TH Sarabun New" w:eastAsia="TH Sarabun New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 New" w:hAnsi="TH Sarabun New" w:cs="TH Sarabun New" w:eastAsia="TH Sarabun New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 New" w:hAnsi="TH Sarabun New" w:cs="TH Sarabun New" w:eastAsia="TH Sarabun New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 New" w:hAnsi="TH Sarabun New" w:cs="TH Sarabun New" w:eastAsia="TH Sarabun New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 New" w:hAnsi="TH Sarabun New" w:cs="TH Sarabun New" w:eastAsia="TH Sarabun New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 New" w:hAnsi="TH Sarabun New" w:cs="TH Sarabun New" w:eastAsia="TH Sarabun New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 New" w:hAnsi="TH Sarabun New" w:cs="TH Sarabun New" w:eastAsia="TH Sarabun New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 New" w:hAnsi="TH Sarabun New" w:cs="TH Sarabun New" w:eastAsia="TH Sarabun New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 New" w:hAnsi="TH Sarabun New" w:cs="TH Sarabun New" w:eastAsia="TH Sarabun New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 New" w:hAnsi="TH Sarabun New" w:cs="TH Sarabun New" w:eastAsia="TH Sarabun New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 New" w:hAnsi="TH Sarabun New" w:cs="TH Sarabun New" w:eastAsia="TH Sarabun New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 New" w:hAnsi="TH Sarabun New" w:cs="TH Sarabun New" w:eastAsia="TH Sarabun New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 New" w:hAnsi="TH Sarabun New" w:cs="TH Sarabun New" w:eastAsia="TH Sarabun New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 New" w:hAnsi="TH Sarabun New" w:cs="TH Sarabun New" w:eastAsia="TH Sarabun New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 New" w:hAnsi="TH Sarabun New" w:cs="TH Sarabun New" w:eastAsia="TH Sarabun New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 New" w:hAnsi="TH Sarabun New" w:cs="TH Sarabun New" w:eastAsia="TH Sarabun New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 New" w:hAnsi="TH Sarabun New" w:cs="TH Sarabun New" w:eastAsia="TH Sarabun New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 New" w:hAnsi="TH Sarabun New" w:cs="TH Sarabun New" w:eastAsia="TH Sarabun New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 New" w:hAnsi="TH Sarabun New" w:cs="TH Sarabun New" w:eastAsia="TH Sarabun New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H Sarabun New" w:hAnsi="TH Sarabun New" w:cs="TH Sarabun New" w:eastAsia="TH Sarabun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hAnsi="TH Sarabun New" w:cs="TH Sarabun New" w:eastAsia="TH Sarabun New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2026-09-29T18:01:30Z</dcterms:created>
  <dcterms:modified xsi:type="dcterms:W3CDTF">2026-09-29T18:01:30Z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