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  <w:spacing w:before="400" w:after="120"/>
      </w:pPr>
      <w:r>
        <w:rPr>
          <w:b/>
          <w:bCs/>
          <w:sz w:val="36"/>
          <w:szCs w:val="36"/>
        </w:rPr>
        <w:t xml:space="preserve">สรุปการแก้ไขเล่มปริญญานิพนธ์ตามคู่มือ v3</w:t>
      </w:r>
    </w:p>
    <w:p>
      <w:pPr>
        <w:jc w:val="center"/>
        <w:spacing w:before="0" w:after="200"/>
      </w:pPr>
      <w:r>
        <w:rPr>
          <w:b/>
          <w:bCs/>
          <w:sz w:val="42"/>
          <w:szCs w:val="42"/>
        </w:rPr>
        <w:t xml:space="preserve">ระบบจัดการคำสั่งซื้อและตรวจสอบคลังสินค้า ร้านวัสดุก่อสร้างอำพรคอนกรีต (อำพร OMS)</w:t>
      </w:r>
    </w:p>
    <w:p>
      <w:pPr>
        <w:jc w:val="center"/>
        <w:spacing w:before="0" w:after="300"/>
      </w:pPr>
      <w:r>
        <w:rPr>
          <w:b/>
          <w:bCs/>
          <w:sz w:val="26"/>
          <w:szCs w:val="26"/>
        </w:rPr>
        <w:t xml:space="preserve">ปรับตามข้อเสนอโครงสร้างคู่มือปริญญานิพนธ์ วิศวกรรมซอฟต์แวร์ ฉบับ v3, 1 ตุลาคม 2569, เลขหน้าอ้างอิงจากไฟล์ปริญญานิพนธ์รวมเล่ม.pdf (200 หน้า)</w:t>
      </w:r>
    </w:p>
    <w:bookmarkStart w:id="20" w:name="วธอานเอกสารน"/>
    <w:p>
      <w:r>
        <w:br w:type="page"/>
      </w:r>
    </w:p>
    <w:p>
      <w:pPr>
        <w:pStyle w:val="Heading1"/>
      </w:pPr>
      <w:r>
        <w:t xml:space="preserve">วิธีอ่านเอกสารนี้</w:t>
      </w:r>
    </w:p>
    <w:p>
      <w:pPr>
        <w:pStyle w:val="FirstParagraph"/>
      </w:pPr>
      <w:r>
        <w:t xml:space="preserve">เลขหน้าเป็นเลขที่พิมพ์อยู่มุมขวาบนของหน้าในเล่ม เนื้อความเริ่มหน้า 1 ที่บทที่ 1 ทุกบทเปลี่ยนหัวข้อให้ตรงกับคู่มือ v3 ทั้งชื่อและลำดับ เนื้อหาเดิมย้ายไปอยู่ใต้หัวข้อใหม่ที่ตรงความหมาย และเพิ่มเนื้อหาส่วนที่คู่มือกำหนดแต่เล่มเดิมยังไม่มี</w:t>
      </w:r>
    </w:p>
    <w:bookmarkEnd w:id="20"/>
    <w:bookmarkStart w:id="21" w:name="โครงสรางใหมของแตละบท"/>
    <w:p>
      <w:pPr>
        <w:pStyle w:val="Heading1"/>
      </w:pPr>
      <w:r>
        <w:t xml:space="preserve">1. โครงสร้างใหม่ของแต่ละบท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037"/>
        <w:gridCol w:w="4407"/>
        <w:gridCol w:w="3601"/>
        <w:gridCol w:w="593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037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บท</w:t>
            </w:r>
          </w:p>
        </w:tc>
        <w:tc>
          <w:tcPr>
            <w:shd w:val="clear" w:color="auto" w:fill="F2F2F2"/>
            <w:tcW w:w="4407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หัวข้อตามคู่มือ v3</w:t>
            </w:r>
          </w:p>
        </w:tc>
        <w:tc>
          <w:tcPr>
            <w:shd w:val="clear" w:color="auto" w:fill="F2F2F2"/>
            <w:tcW w:w="3601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ที่มาของเนื้อหา</w:t>
            </w:r>
          </w:p>
        </w:tc>
        <w:tc>
          <w:tcPr>
            <w:shd w:val="clear" w:color="auto" w:fill="F2F2F2"/>
            <w:tcW w:w="59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หน้า</w:t>
            </w:r>
          </w:p>
        </w:tc>
      </w:tr>
      <w:tr>
        <w:trPr>
          <w:cantSplit/>
        </w:trPr>
        <w:tc>
          <w:tcPr>
            <w:tcW w:w="1037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440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1.1 ความเป็นมา 1.2 วัตถุประสงค์ 1.3 ขอบเขต 1.4 กระบวนการพัฒนาซอฟต์แวร์ 1.5 แผนการดำเนินงาน 1.6 ประโยชน์</w:t>
            </w:r>
          </w:p>
        </w:tc>
        <w:tc>
          <w:tcPr>
            <w:tcW w:w="360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ตัดหัวข้อสมมติฐานเดิมออก เพราะคู่มือให้ใส่เฉพาะโครงงานเชิงวิจัย เนื้อหาเดิมมีอยู่แล้วในบทที่ 2 และ 3</w:t>
            </w:r>
          </w:p>
        </w:tc>
        <w:tc>
          <w:tcPr>
            <w:tcW w:w="59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</w:tr>
      <w:tr>
        <w:trPr>
          <w:cantSplit/>
        </w:trPr>
        <w:tc>
          <w:tcPr>
            <w:tcW w:w="1037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2</w:t>
            </w:r>
          </w:p>
        </w:tc>
        <w:tc>
          <w:tcPr>
            <w:tcW w:w="440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2.1 ทฤษฎี 2.2 เทคโนโลยี 2.3 มาตรฐาน 2.4 ระบบที่เกี่ยวข้อง 2.5 งานวิจัย</w:t>
            </w:r>
          </w:p>
        </w:tc>
        <w:tc>
          <w:tcPr>
            <w:tcW w:w="360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2.1 และ 2.2 ใช้เนื้อหาเดิม 2.4 และ 2.5 แยกจาก 2.3 เดิม</w:t>
            </w:r>
          </w:p>
        </w:tc>
        <w:tc>
          <w:tcPr>
            <w:tcW w:w="59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7</w:t>
            </w:r>
          </w:p>
        </w:tc>
      </w:tr>
      <w:tr>
        <w:trPr>
          <w:cantSplit/>
        </w:trPr>
        <w:tc>
          <w:tcPr>
            <w:tcW w:w="1037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3</w:t>
            </w:r>
          </w:p>
        </w:tc>
        <w:tc>
          <w:tcPr>
            <w:tcW w:w="440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3.1 ภาพรวมวิธีดำเนินงาน 3.2 การวิเคราะห์ความต้องการ 3.3 สถาปัตยกรรม C1 C2 C3 3.4 การออกแบบรายละเอียด 3.5 แผนการทดสอบ</w:t>
            </w:r>
          </w:p>
        </w:tc>
        <w:tc>
          <w:tcPr>
            <w:tcW w:w="360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เรียงตามลำดับที่อาจารย์ระบุ คือ ความต้องการ กรณีการใช้งาน สถาปัตยกรรม ส่วนประกอบ หน้าจอ และข้อมูล</w:t>
            </w:r>
          </w:p>
        </w:tc>
        <w:tc>
          <w:tcPr>
            <w:tcW w:w="59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24</w:t>
            </w:r>
          </w:p>
        </w:tc>
      </w:tr>
      <w:tr>
        <w:trPr>
          <w:cantSplit/>
        </w:trPr>
        <w:tc>
          <w:tcPr>
            <w:tcW w:w="1037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4</w:t>
            </w:r>
          </w:p>
        </w:tc>
        <w:tc>
          <w:tcPr>
            <w:tcW w:w="440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4.1 การพัฒนา 4.2 ผลการพัฒนา 4.3 การทดสอบ 4.4 การประเมิน 4.5 การติดตั้ง 4.6 การอภิปรายผล</w:t>
            </w:r>
          </w:p>
        </w:tc>
        <w:tc>
          <w:tcPr>
            <w:tcW w:w="360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เพิ่ม 4.1 ใหม่ ส่วนที่เหลือใช้เนื้อหาเดิมจัดกลุ่มใหม่</w:t>
            </w:r>
          </w:p>
        </w:tc>
        <w:tc>
          <w:tcPr>
            <w:tcW w:w="59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64</w:t>
            </w:r>
          </w:p>
        </w:tc>
      </w:tr>
      <w:tr>
        <w:trPr>
          <w:cantSplit/>
        </w:trPr>
        <w:tc>
          <w:tcPr>
            <w:tcW w:w="1037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5</w:t>
            </w:r>
          </w:p>
        </w:tc>
        <w:tc>
          <w:tcPr>
            <w:tcW w:w="440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5.1 สรุปผล 5.2 ปัญหาและแนวทางแก้ไข 5.3 ข้อจำกัด 5.4 ข้อเสนอแนะ 5.5 บทสะท้อนการเรียนรู้</w:t>
            </w:r>
          </w:p>
        </w:tc>
        <w:tc>
          <w:tcPr>
            <w:tcW w:w="360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แยกข้อจำกัดออกจากปัญหา และเพิ่ม 5.5</w:t>
            </w:r>
          </w:p>
        </w:tc>
        <w:tc>
          <w:tcPr>
            <w:tcW w:w="59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90</w:t>
            </w:r>
          </w:p>
        </w:tc>
      </w:tr>
      <w:tr>
        <w:trPr>
          <w:cantSplit/>
        </w:trPr>
        <w:tc>
          <w:tcPr>
            <w:tcW w:w="103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ภาคผนวก</w:t>
            </w:r>
          </w:p>
        </w:tc>
        <w:tc>
          <w:tcPr>
            <w:tcW w:w="440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ก SRS, ข SDD, ค RTM, ง กรณีทดสอบ, จ คู่มือใช้งานและติดตั้ง, ฉ คลังเก็บโค้ดและซอร์สโค้ด, ช แบบประเมิน</w:t>
            </w:r>
          </w:p>
        </w:tc>
        <w:tc>
          <w:tcPr>
            <w:tcW w:w="360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เรียงตามคู่มือ v3</w:t>
            </w:r>
          </w:p>
        </w:tc>
        <w:tc>
          <w:tcPr>
            <w:tcW w:w="593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101</w:t>
            </w:r>
          </w:p>
        </w:tc>
      </w:tr>
    </w:tbl>
    <w:bookmarkEnd w:id="21"/>
    <w:bookmarkStart w:id="22" w:name="สงทเพมเขามาใหม"/>
    <w:p>
      <w:pPr>
        <w:pStyle w:val="Heading1"/>
      </w:pPr>
      <w:r>
        <w:t xml:space="preserve">2. สิ่งที่เพิ่มเข้ามาใหม่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704"/>
        <w:gridCol w:w="5832"/>
        <w:gridCol w:w="2065"/>
        <w:gridCol w:w="1037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704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ลำดับ</w:t>
            </w:r>
          </w:p>
        </w:tc>
        <w:tc>
          <w:tcPr>
            <w:shd w:val="clear" w:color="auto" w:fill="F2F2F2"/>
            <w:tcW w:w="5832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สิ่งที่เพิ่ม</w:t>
            </w:r>
          </w:p>
        </w:tc>
        <w:tc>
          <w:tcPr>
            <w:shd w:val="clear" w:color="auto" w:fill="F2F2F2"/>
            <w:tcW w:w="2065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ตำแหน่ง</w:t>
            </w:r>
          </w:p>
        </w:tc>
        <w:tc>
          <w:tcPr>
            <w:shd w:val="clear" w:color="auto" w:fill="F2F2F2"/>
            <w:tcW w:w="1037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หน้า</w:t>
            </w:r>
          </w:p>
        </w:tc>
      </w:tr>
      <w:tr>
        <w:trPr>
          <w:cantSplit/>
        </w:trPr>
        <w:tc>
          <w:tcPr>
            <w:tcW w:w="70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583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ผู้มีส่วนได้ส่วนเสียสี่กลุ่ม และที่มาของข้อมูลจากหน้างาน</w:t>
            </w:r>
          </w:p>
        </w:tc>
        <w:tc>
          <w:tcPr>
            <w:tcW w:w="20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1.1</w:t>
            </w:r>
          </w:p>
        </w:tc>
        <w:tc>
          <w:tcPr>
            <w:tcW w:w="103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</w:tr>
      <w:tr>
        <w:trPr>
          <w:cantSplit/>
        </w:trPr>
        <w:tc>
          <w:tcPr>
            <w:tcW w:w="70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2</w:t>
            </w:r>
          </w:p>
        </w:tc>
        <w:tc>
          <w:tcPr>
            <w:tcW w:w="583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วัตถุประสงค์แยกเชิงผลิตภัณฑ์ข้อ 1 ถึง 4 พร้อมเกณฑ์ที่วัดได้ และเชิงการเรียนรู้ข้อ 5 และ 6</w:t>
            </w:r>
          </w:p>
        </w:tc>
        <w:tc>
          <w:tcPr>
            <w:tcW w:w="20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1.2</w:t>
            </w:r>
          </w:p>
        </w:tc>
        <w:tc>
          <w:tcPr>
            <w:tcW w:w="103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2</w:t>
            </w:r>
          </w:p>
        </w:tc>
      </w:tr>
      <w:tr>
        <w:trPr>
          <w:cantSplit/>
        </w:trPr>
        <w:tc>
          <w:tcPr>
            <w:tcW w:w="70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3</w:t>
            </w:r>
          </w:p>
        </w:tc>
        <w:tc>
          <w:tcPr>
            <w:tcW w:w="583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ตารางสิ่งที่อยู่ในและนอกขอบเขต ข้อจำกัด และข้อสมมติ</w:t>
            </w:r>
          </w:p>
        </w:tc>
        <w:tc>
          <w:tcPr>
            <w:tcW w:w="20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1.3</w:t>
            </w:r>
          </w:p>
        </w:tc>
        <w:tc>
          <w:tcPr>
            <w:tcW w:w="103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2</w:t>
            </w:r>
          </w:p>
        </w:tc>
      </w:tr>
      <w:tr>
        <w:trPr>
          <w:cantSplit/>
        </w:trPr>
        <w:tc>
          <w:tcPr>
            <w:tcW w:w="70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4</w:t>
            </w:r>
          </w:p>
        </w:tc>
        <w:tc>
          <w:tcPr>
            <w:tcW w:w="583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กระบวนการพัฒนาแบบน้ำตกที่ทวนกลับได้ พร้อมเหตุผลและตัวอย่างการทวนกลับที่เกิดจริง</w:t>
            </w:r>
          </w:p>
        </w:tc>
        <w:tc>
          <w:tcPr>
            <w:tcW w:w="20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1.4</w:t>
            </w:r>
          </w:p>
        </w:tc>
        <w:tc>
          <w:tcPr>
            <w:tcW w:w="103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4</w:t>
            </w:r>
          </w:p>
        </w:tc>
      </w:tr>
      <w:tr>
        <w:trPr>
          <w:cantSplit/>
        </w:trPr>
        <w:tc>
          <w:tcPr>
            <w:tcW w:w="70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5</w:t>
            </w:r>
          </w:p>
        </w:tc>
        <w:tc>
          <w:tcPr>
            <w:tcW w:w="583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แผนภูมิแกนต์ หมุดหมาย M1 ถึง M6 และการแบ่งบทบาทในทีม</w:t>
            </w:r>
          </w:p>
        </w:tc>
        <w:tc>
          <w:tcPr>
            <w:tcW w:w="20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1.5 รูปที่ 1.1 ตารางที่ 1.3</w:t>
            </w:r>
          </w:p>
        </w:tc>
        <w:tc>
          <w:tcPr>
            <w:tcW w:w="103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4–5</w:t>
            </w:r>
          </w:p>
        </w:tc>
      </w:tr>
      <w:tr>
        <w:trPr>
          <w:cantSplit/>
        </w:trPr>
        <w:tc>
          <w:tcPr>
            <w:tcW w:w="70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6</w:t>
            </w:r>
          </w:p>
        </w:tc>
        <w:tc>
          <w:tcPr>
            <w:tcW w:w="583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ตารางสรุปเทคโนโลยีพร้อมเหตุผล และเครื่องมือทดสอบ</w:t>
            </w:r>
          </w:p>
        </w:tc>
        <w:tc>
          <w:tcPr>
            <w:tcW w:w="20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ตารางที่ 2.1 และ 2.2.7</w:t>
            </w:r>
          </w:p>
        </w:tc>
        <w:tc>
          <w:tcPr>
            <w:tcW w:w="103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13–14</w:t>
            </w:r>
          </w:p>
        </w:tc>
      </w:tr>
      <w:tr>
        <w:trPr>
          <w:cantSplit/>
        </w:trPr>
        <w:tc>
          <w:tcPr>
            <w:tcW w:w="70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7</w:t>
            </w:r>
          </w:p>
        </w:tc>
        <w:tc>
          <w:tcPr>
            <w:tcW w:w="583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มาตรฐานที่ใช้จริง: ไอเอสโอ/ไออีซี 25010 โอวาสป์ท็อปเท็น พระราชบัญญัติคุ้มครองข้อมูลส่วนบุคคล และมาตรฐานรหัสคิวอาร์</w:t>
            </w:r>
          </w:p>
        </w:tc>
        <w:tc>
          <w:tcPr>
            <w:tcW w:w="20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2.3 ตารางที่ 2.2</w:t>
            </w:r>
          </w:p>
        </w:tc>
        <w:tc>
          <w:tcPr>
            <w:tcW w:w="103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18</w:t>
            </w:r>
          </w:p>
        </w:tc>
      </w:tr>
      <w:tr>
        <w:trPr>
          <w:cantSplit/>
        </w:trPr>
        <w:tc>
          <w:tcPr>
            <w:tcW w:w="70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8</w:t>
            </w:r>
          </w:p>
        </w:tc>
        <w:tc>
          <w:tcPr>
            <w:tcW w:w="583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เปรียบเทียบกระบวนการเดิมของร้านกับระบบใหม่ และการวิเคราะห์ช่องว่าง</w:t>
            </w:r>
          </w:p>
        </w:tc>
        <w:tc>
          <w:tcPr>
            <w:tcW w:w="20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2.4 ตารางที่ 2.3</w:t>
            </w:r>
          </w:p>
        </w:tc>
        <w:tc>
          <w:tcPr>
            <w:tcW w:w="103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19–20</w:t>
            </w:r>
          </w:p>
        </w:tc>
      </w:tr>
      <w:tr>
        <w:trPr>
          <w:cantSplit/>
        </w:trPr>
        <w:tc>
          <w:tcPr>
            <w:tcW w:w="70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9</w:t>
            </w:r>
          </w:p>
        </w:tc>
        <w:tc>
          <w:tcPr>
            <w:tcW w:w="583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วิธีเก็บความต้องการและผู้ให้ข้อมูล</w:t>
            </w:r>
          </w:p>
        </w:tc>
        <w:tc>
          <w:tcPr>
            <w:tcW w:w="20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3.2.1 ตารางที่ 3.1</w:t>
            </w:r>
          </w:p>
        </w:tc>
        <w:tc>
          <w:tcPr>
            <w:tcW w:w="103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25</w:t>
            </w:r>
          </w:p>
        </w:tc>
      </w:tr>
      <w:tr>
        <w:trPr>
          <w:cantSplit/>
        </w:trPr>
        <w:tc>
          <w:tcPr>
            <w:tcW w:w="70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10</w:t>
            </w:r>
          </w:p>
        </w:tc>
        <w:tc>
          <w:tcPr>
            <w:tcW w:w="583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ความต้องการนอกเหนือหน้าที่จัดกลุ่มตามไอเอสโอ/ไออีซี 25010</w:t>
            </w:r>
          </w:p>
        </w:tc>
        <w:tc>
          <w:tcPr>
            <w:tcW w:w="20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ตารางที่ 3.8</w:t>
            </w:r>
          </w:p>
        </w:tc>
        <w:tc>
          <w:tcPr>
            <w:tcW w:w="103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29</w:t>
            </w:r>
          </w:p>
        </w:tc>
      </w:tr>
      <w:tr>
        <w:trPr>
          <w:cantSplit/>
        </w:trPr>
        <w:tc>
          <w:tcPr>
            <w:tcW w:w="70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11</w:t>
            </w:r>
          </w:p>
        </w:tc>
        <w:tc>
          <w:tcPr>
            <w:tcW w:w="583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แผนภาพกรณีการใช้งานรวมตามสัญลักษณ์ยูเอ็มแอล แทนแผนภาพแยกสี่รูปเดิม</w:t>
            </w:r>
          </w:p>
        </w:tc>
        <w:tc>
          <w:tcPr>
            <w:tcW w:w="20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รูปที่ 3.2</w:t>
            </w:r>
          </w:p>
        </w:tc>
        <w:tc>
          <w:tcPr>
            <w:tcW w:w="103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30</w:t>
            </w:r>
          </w:p>
        </w:tc>
      </w:tr>
      <w:tr>
        <w:trPr>
          <w:cantSplit/>
        </w:trPr>
        <w:tc>
          <w:tcPr>
            <w:tcW w:w="70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12</w:t>
            </w:r>
          </w:p>
        </w:tc>
        <w:tc>
          <w:tcPr>
            <w:tcW w:w="583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การจับคู่ขอบเขต กรณีการใช้งาน และความต้องการ</w:t>
            </w:r>
          </w:p>
        </w:tc>
        <w:tc>
          <w:tcPr>
            <w:tcW w:w="20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ตารางที่ 3.13</w:t>
            </w:r>
          </w:p>
        </w:tc>
        <w:tc>
          <w:tcPr>
            <w:tcW w:w="103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34</w:t>
            </w:r>
          </w:p>
        </w:tc>
      </w:tr>
      <w:tr>
        <w:trPr>
          <w:cantSplit/>
        </w:trPr>
        <w:tc>
          <w:tcPr>
            <w:tcW w:w="70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13</w:t>
            </w:r>
          </w:p>
        </w:tc>
        <w:tc>
          <w:tcPr>
            <w:tcW w:w="583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ตารางว่าแต่ละกรณีการใช้งานผ่านหน้าจอและโมดูลใด</w:t>
            </w:r>
          </w:p>
        </w:tc>
        <w:tc>
          <w:tcPr>
            <w:tcW w:w="20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ตารางที่ 3.19</w:t>
            </w:r>
          </w:p>
        </w:tc>
        <w:tc>
          <w:tcPr>
            <w:tcW w:w="103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40</w:t>
            </w:r>
          </w:p>
        </w:tc>
      </w:tr>
      <w:tr>
        <w:trPr>
          <w:cantSplit/>
        </w:trPr>
        <w:tc>
          <w:tcPr>
            <w:tcW w:w="70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14</w:t>
            </w:r>
          </w:p>
        </w:tc>
        <w:tc>
          <w:tcPr>
            <w:tcW w:w="583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แผนภาพการติดตั้งพร้อมพอร์ตจริง</w:t>
            </w:r>
          </w:p>
        </w:tc>
        <w:tc>
          <w:tcPr>
            <w:tcW w:w="20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รูปที่ 3.6</w:t>
            </w:r>
          </w:p>
        </w:tc>
        <w:tc>
          <w:tcPr>
            <w:tcW w:w="103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41</w:t>
            </w:r>
          </w:p>
        </w:tc>
      </w:tr>
      <w:tr>
        <w:trPr>
          <w:cantSplit/>
        </w:trPr>
        <w:tc>
          <w:tcPr>
            <w:tcW w:w="70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15</w:t>
            </w:r>
          </w:p>
        </w:tc>
        <w:tc>
          <w:tcPr>
            <w:tcW w:w="583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การตัดสินใจเชิงสถาปัตยกรรม ADR-01 ถึง ADR-07</w:t>
            </w:r>
          </w:p>
        </w:tc>
        <w:tc>
          <w:tcPr>
            <w:tcW w:w="20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ตารางที่ 3.20</w:t>
            </w:r>
          </w:p>
        </w:tc>
        <w:tc>
          <w:tcPr>
            <w:tcW w:w="103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42</w:t>
            </w:r>
          </w:p>
        </w:tc>
      </w:tr>
      <w:tr>
        <w:trPr>
          <w:cantSplit/>
        </w:trPr>
        <w:tc>
          <w:tcPr>
            <w:tcW w:w="70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16</w:t>
            </w:r>
          </w:p>
        </w:tc>
        <w:tc>
          <w:tcPr>
            <w:tcW w:w="583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ข้อมูลที่แต่ละกรณีการใช้งานสร้าง อ่าน หรือแก้ไข แล้วรวมเป็นฐานข้อมูลเดียว</w:t>
            </w:r>
          </w:p>
        </w:tc>
        <w:tc>
          <w:tcPr>
            <w:tcW w:w="20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ตารางที่ 3.21</w:t>
            </w:r>
          </w:p>
        </w:tc>
        <w:tc>
          <w:tcPr>
            <w:tcW w:w="103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43</w:t>
            </w:r>
          </w:p>
        </w:tc>
      </w:tr>
      <w:tr>
        <w:trPr>
          <w:cantSplit/>
        </w:trPr>
        <w:tc>
          <w:tcPr>
            <w:tcW w:w="70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17</w:t>
            </w:r>
          </w:p>
        </w:tc>
        <w:tc>
          <w:tcPr>
            <w:tcW w:w="583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หน้าจอที่จับคู่กับกรณีการใช้งาน ต้นแบบ และหน้าจอจริง</w:t>
            </w:r>
          </w:p>
        </w:tc>
        <w:tc>
          <w:tcPr>
            <w:tcW w:w="20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ตารางที่ 3.24</w:t>
            </w:r>
          </w:p>
        </w:tc>
        <w:tc>
          <w:tcPr>
            <w:tcW w:w="103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51</w:t>
            </w:r>
          </w:p>
        </w:tc>
      </w:tr>
      <w:tr>
        <w:trPr>
          <w:cantSplit/>
        </w:trPr>
        <w:tc>
          <w:tcPr>
            <w:tcW w:w="70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18</w:t>
            </w:r>
          </w:p>
        </w:tc>
        <w:tc>
          <w:tcPr>
            <w:tcW w:w="583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ลำดับการใช้หน้าจอของผู้ใช้แต่ละบทบาท</w:t>
            </w:r>
          </w:p>
        </w:tc>
        <w:tc>
          <w:tcPr>
            <w:tcW w:w="20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รูปที่ 3.12</w:t>
            </w:r>
          </w:p>
        </w:tc>
        <w:tc>
          <w:tcPr>
            <w:tcW w:w="103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52</w:t>
            </w:r>
          </w:p>
        </w:tc>
      </w:tr>
      <w:tr>
        <w:trPr>
          <w:cantSplit/>
        </w:trPr>
        <w:tc>
          <w:tcPr>
            <w:tcW w:w="70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19</w:t>
            </w:r>
          </w:p>
        </w:tc>
        <w:tc>
          <w:tcPr>
            <w:tcW w:w="583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การออกแบบส่วนต่อประสาน รหัสสถานะ และเหตุการณ์เรียลไทม์สี่ชนิด</w:t>
            </w:r>
          </w:p>
        </w:tc>
        <w:tc>
          <w:tcPr>
            <w:tcW w:w="20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3.4.4 ตารางที่ 3.26</w:t>
            </w:r>
          </w:p>
        </w:tc>
        <w:tc>
          <w:tcPr>
            <w:tcW w:w="103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56–57</w:t>
            </w:r>
          </w:p>
        </w:tc>
      </w:tr>
      <w:tr>
        <w:trPr>
          <w:cantSplit/>
        </w:trPr>
        <w:tc>
          <w:tcPr>
            <w:tcW w:w="70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20</w:t>
            </w:r>
          </w:p>
        </w:tc>
        <w:tc>
          <w:tcPr>
            <w:tcW w:w="583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สภาพแวดล้อมการพัฒนา โครงสร้างซอร์สโค้ด และแนวปฏิบัติในการเขียนโค้ด</w:t>
            </w:r>
          </w:p>
        </w:tc>
        <w:tc>
          <w:tcPr>
            <w:tcW w:w="20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4.1</w:t>
            </w:r>
          </w:p>
        </w:tc>
        <w:tc>
          <w:tcPr>
            <w:tcW w:w="103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64</w:t>
            </w:r>
          </w:p>
        </w:tc>
      </w:tr>
      <w:tr>
        <w:trPr>
          <w:cantSplit/>
        </w:trPr>
        <w:tc>
          <w:tcPr>
            <w:tcW w:w="70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21</w:t>
            </w:r>
          </w:p>
        </w:tc>
        <w:tc>
          <w:tcPr>
            <w:tcW w:w="583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ตารางสอบกลับย่อจากความต้องการไปยังสิ่งที่พัฒนา</w:t>
            </w:r>
          </w:p>
        </w:tc>
        <w:tc>
          <w:tcPr>
            <w:tcW w:w="20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ตารางที่ 4.4</w:t>
            </w:r>
          </w:p>
        </w:tc>
        <w:tc>
          <w:tcPr>
            <w:tcW w:w="103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66</w:t>
            </w:r>
          </w:p>
        </w:tc>
      </w:tr>
      <w:tr>
        <w:trPr>
          <w:cantSplit/>
        </w:trPr>
        <w:tc>
          <w:tcPr>
            <w:tcW w:w="70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22</w:t>
            </w:r>
          </w:p>
        </w:tc>
        <w:tc>
          <w:tcPr>
            <w:tcW w:w="583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ผลการทวนสอบความต้องการนอกเหนือหน้าที่ทั้งเก้าข้อ</w:t>
            </w:r>
          </w:p>
        </w:tc>
        <w:tc>
          <w:tcPr>
            <w:tcW w:w="20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4.3.3 ตารางที่ 4.9</w:t>
            </w:r>
          </w:p>
        </w:tc>
        <w:tc>
          <w:tcPr>
            <w:tcW w:w="103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83</w:t>
            </w:r>
          </w:p>
        </w:tc>
      </w:tr>
      <w:tr>
        <w:trPr>
          <w:cantSplit/>
        </w:trPr>
        <w:tc>
          <w:tcPr>
            <w:tcW w:w="70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23</w:t>
            </w:r>
          </w:p>
        </w:tc>
        <w:tc>
          <w:tcPr>
            <w:tcW w:w="583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บันทึกข้อบกพร่อง DF-01 ถึง DF-04</w:t>
            </w:r>
          </w:p>
        </w:tc>
        <w:tc>
          <w:tcPr>
            <w:tcW w:w="20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ตารางที่ 4.12</w:t>
            </w:r>
          </w:p>
        </w:tc>
        <w:tc>
          <w:tcPr>
            <w:tcW w:w="103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87</w:t>
            </w:r>
          </w:p>
        </w:tc>
      </w:tr>
      <w:tr>
        <w:trPr>
          <w:cantSplit/>
        </w:trPr>
        <w:tc>
          <w:tcPr>
            <w:tcW w:w="70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24</w:t>
            </w:r>
          </w:p>
        </w:tc>
        <w:tc>
          <w:tcPr>
            <w:tcW w:w="583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ข้อจำกัดของโครงงานแยกหัวข้อ เพิ่มการยืนยันรับชำระด้วยพนักงาน และการเชื่อมต่อที่ยังไม่เข้ารหัส</w:t>
            </w:r>
          </w:p>
        </w:tc>
        <w:tc>
          <w:tcPr>
            <w:tcW w:w="20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5.3</w:t>
            </w:r>
          </w:p>
        </w:tc>
        <w:tc>
          <w:tcPr>
            <w:tcW w:w="103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94</w:t>
            </w:r>
          </w:p>
        </w:tc>
      </w:tr>
      <w:tr>
        <w:trPr>
          <w:cantSplit/>
        </w:trPr>
        <w:tc>
          <w:tcPr>
            <w:tcW w:w="70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25</w:t>
            </w:r>
          </w:p>
        </w:tc>
        <w:tc>
          <w:tcPr>
            <w:tcW w:w="583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บทสะท้อนการเรียนรู้และการทำงานเป็นทีม ฉบับร่าง</w:t>
            </w:r>
          </w:p>
        </w:tc>
        <w:tc>
          <w:tcPr>
            <w:tcW w:w="20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5.5</w:t>
            </w:r>
          </w:p>
        </w:tc>
        <w:tc>
          <w:tcPr>
            <w:tcW w:w="103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97</w:t>
            </w:r>
          </w:p>
        </w:tc>
      </w:tr>
      <w:tr>
        <w:trPr>
          <w:cantSplit/>
        </w:trPr>
        <w:tc>
          <w:tcPr>
            <w:tcW w:w="70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26</w:t>
            </w:r>
          </w:p>
        </w:tc>
        <w:tc>
          <w:tcPr>
            <w:tcW w:w="583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SRS ตามโครงเอกสาร ENGSE206 CaseX ฉบับ 3.0 ครบ 11 กรณีการใช้งาน</w:t>
            </w:r>
          </w:p>
        </w:tc>
        <w:tc>
          <w:tcPr>
            <w:tcW w:w="20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ภาคผนวก ก</w:t>
            </w:r>
          </w:p>
        </w:tc>
        <w:tc>
          <w:tcPr>
            <w:tcW w:w="103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102</w:t>
            </w:r>
          </w:p>
        </w:tc>
      </w:tr>
      <w:tr>
        <w:trPr>
          <w:cantSplit/>
        </w:trPr>
        <w:tc>
          <w:tcPr>
            <w:tcW w:w="70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27</w:t>
            </w:r>
          </w:p>
        </w:tc>
        <w:tc>
          <w:tcPr>
            <w:tcW w:w="583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เอกสารการออกแบบซอฟต์แวร์ พจนานุกรมข้อมูลทุกตาราง และเส้นทางบริการ 19 เส้นทาง สร้างจากซอร์สโค้ดจริง</w:t>
            </w:r>
          </w:p>
        </w:tc>
        <w:tc>
          <w:tcPr>
            <w:tcW w:w="20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ภาคผนวก ข</w:t>
            </w:r>
          </w:p>
        </w:tc>
        <w:tc>
          <w:tcPr>
            <w:tcW w:w="103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147</w:t>
            </w:r>
          </w:p>
        </w:tc>
      </w:tr>
      <w:tr>
        <w:trPr>
          <w:cantSplit/>
        </w:trPr>
        <w:tc>
          <w:tcPr>
            <w:tcW w:w="70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28</w:t>
            </w:r>
          </w:p>
        </w:tc>
        <w:tc>
          <w:tcPr>
            <w:tcW w:w="583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ตารางสอบกลับฉบับเต็มสองทิศทาง 23 ความต้องการ</w:t>
            </w:r>
          </w:p>
        </w:tc>
        <w:tc>
          <w:tcPr>
            <w:tcW w:w="20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ภาคผนวก ค</w:t>
            </w:r>
          </w:p>
        </w:tc>
        <w:tc>
          <w:tcPr>
            <w:tcW w:w="103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155</w:t>
            </w:r>
          </w:p>
        </w:tc>
      </w:tr>
      <w:tr>
        <w:trPr>
          <w:cantSplit/>
        </w:trPr>
        <w:tc>
          <w:tcPr>
            <w:tcW w:w="70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29</w:t>
            </w:r>
          </w:p>
        </w:tc>
        <w:tc>
          <w:tcPr>
            <w:tcW w:w="583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คู่มือการใช้งานของทั้งสามบทบาท</w:t>
            </w:r>
          </w:p>
        </w:tc>
        <w:tc>
          <w:tcPr>
            <w:tcW w:w="20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ภาคผนวก จ</w:t>
            </w:r>
          </w:p>
        </w:tc>
        <w:tc>
          <w:tcPr>
            <w:tcW w:w="103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167</w:t>
            </w:r>
          </w:p>
        </w:tc>
      </w:tr>
      <w:tr>
        <w:trPr>
          <w:cantSplit/>
        </w:trPr>
        <w:tc>
          <w:tcPr>
            <w:tcW w:w="70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30</w:t>
            </w:r>
          </w:p>
        </w:tc>
        <w:tc>
          <w:tcPr>
            <w:tcW w:w="583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ที่อยู่คลังเก็บโค้ด</w:t>
            </w:r>
          </w:p>
        </w:tc>
        <w:tc>
          <w:tcPr>
            <w:tcW w:w="20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ภาคผนวก ฉ</w:t>
            </w:r>
          </w:p>
        </w:tc>
        <w:tc>
          <w:tcPr>
            <w:tcW w:w="103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172</w:t>
            </w:r>
          </w:p>
        </w:tc>
      </w:tr>
      <w:tr>
        <w:trPr>
          <w:cantSplit/>
        </w:trPr>
        <w:tc>
          <w:tcPr>
            <w:tcW w:w="70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31</w:t>
            </w:r>
          </w:p>
        </w:tc>
        <w:tc>
          <w:tcPr>
            <w:tcW w:w="583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แยกการออกแบบการทดสอบไว้บทที่ 3 ได้แก่ กลยุทธ์ ชุดทดสอบระดับหน่วยและการรวมส่วน กรณีทดสอบระดับระบบพร้อมเงื่อนไขก่อน ขั้นตอน และผลที่คาดหวัง และแผนการทดสอบการยอมรับโดยผู้ใช้ ตามที่อาจารย์ให้</w:t>
            </w:r>
          </w:p>
        </w:tc>
        <w:tc>
          <w:tcPr>
            <w:tcW w:w="20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3.5 ตารางที่ 3.28 ตารางที่ 3.29 ตารางที่ 3.30</w:t>
            </w:r>
          </w:p>
        </w:tc>
        <w:tc>
          <w:tcPr>
            <w:tcW w:w="103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57–62</w:t>
            </w:r>
          </w:p>
        </w:tc>
      </w:tr>
      <w:tr>
        <w:trPr>
          <w:cantSplit/>
        </w:trPr>
        <w:tc>
          <w:tcPr>
            <w:tcW w:w="70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32</w:t>
            </w:r>
          </w:p>
        </w:tc>
        <w:tc>
          <w:tcPr>
            <w:tcW w:w="583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บทที่ 4 รายงานเฉพาะผลการทดสอบระดับหน่วยและระดับระบบ ส่วนการประเมินโดยผู้ใช้เว้นไว้รอทำหลังระบบนิ่ง</w:t>
            </w:r>
          </w:p>
        </w:tc>
        <w:tc>
          <w:tcPr>
            <w:tcW w:w="20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4.3 4.4</w:t>
            </w:r>
          </w:p>
        </w:tc>
        <w:tc>
          <w:tcPr>
            <w:tcW w:w="103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77–87</w:t>
            </w:r>
          </w:p>
        </w:tc>
      </w:tr>
      <w:tr>
        <w:trPr>
          <w:cantSplit/>
        </w:trPr>
        <w:tc>
          <w:tcPr>
            <w:tcW w:w="70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33</w:t>
            </w:r>
          </w:p>
        </w:tc>
        <w:tc>
          <w:tcPr>
            <w:tcW w:w="583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ตารางรอบันทึกผลการทดสอบการยอมรับโดยผู้ใช้ แยกตามบทบาท ใส่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“รอผล”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ไว้จนกว่าจะทดสอบหลังระบบนิ่ง</w:t>
            </w:r>
          </w:p>
        </w:tc>
        <w:tc>
          <w:tcPr>
            <w:tcW w:w="20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4.3.4 ตารางที่ 4.10</w:t>
            </w:r>
          </w:p>
        </w:tc>
        <w:tc>
          <w:tcPr>
            <w:tcW w:w="103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84–85</w:t>
            </w:r>
          </w:p>
        </w:tc>
      </w:tr>
      <w:tr>
        <w:trPr>
          <w:cantSplit/>
        </w:trPr>
        <w:tc>
          <w:tcPr>
            <w:tcW w:w="70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34</w:t>
            </w:r>
          </w:p>
        </w:tc>
        <w:tc>
          <w:tcPr>
            <w:tcW w:w="583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หัวข้อย่อยในคำอธิบายกรณีการใช้งานของภาคผนวก ก มีเลขกำกับตามคู่มือ เช่น ก.4.6.1 เงื่อนไขก่อน และขั้นตอนลำดับเลขใช้ตัวอักษร 16 พอยต์เท่าเนื้อความ</w:t>
            </w:r>
          </w:p>
        </w:tc>
        <w:tc>
          <w:tcPr>
            <w:tcW w:w="20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ภาคผนวก ก</w:t>
            </w:r>
          </w:p>
        </w:tc>
        <w:tc>
          <w:tcPr>
            <w:tcW w:w="103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112–146</w:t>
            </w:r>
          </w:p>
        </w:tc>
      </w:tr>
      <w:tr>
        <w:trPr>
          <w:cantSplit/>
        </w:trPr>
        <w:tc>
          <w:tcPr>
            <w:tcW w:w="70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35</w:t>
            </w:r>
          </w:p>
        </w:tc>
        <w:tc>
          <w:tcPr>
            <w:tcW w:w="583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สถานการณ์เชิงลบและค่าขอบเขตในภาคผนวก ก.10.1 เปลี่ยนจากย่อหน้ายาวเป็นตาราง สถานการณ์กับผลที่คาดหวัง</w:t>
            </w:r>
          </w:p>
        </w:tc>
        <w:tc>
          <w:tcPr>
            <w:tcW w:w="20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ก.10.1</w:t>
            </w:r>
          </w:p>
        </w:tc>
        <w:tc>
          <w:tcPr>
            <w:tcW w:w="103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142</w:t>
            </w:r>
          </w:p>
        </w:tc>
      </w:tr>
      <w:tr>
        <w:trPr>
          <w:cantSplit/>
        </w:trPr>
        <w:tc>
          <w:tcPr>
            <w:tcW w:w="70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36</w:t>
            </w:r>
          </w:p>
        </w:tc>
        <w:tc>
          <w:tcPr>
            <w:tcW w:w="583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เพิ่มคำอธิบายจุดตัดสินใจสามจุดของแผนภาพกิจกรรม เพื่ออธิบายรูปและปิดที่ว่างก่อนรูป</w:t>
            </w:r>
          </w:p>
        </w:tc>
        <w:tc>
          <w:tcPr>
            <w:tcW w:w="20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3.4.2.3 รูปที่ 3.10</w:t>
            </w:r>
          </w:p>
        </w:tc>
        <w:tc>
          <w:tcPr>
            <w:tcW w:w="103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48–49</w:t>
            </w:r>
          </w:p>
        </w:tc>
      </w:tr>
      <w:tr>
        <w:trPr>
          <w:cantSplit/>
        </w:trPr>
        <w:tc>
          <w:tcPr>
            <w:tcW w:w="70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37</w:t>
            </w:r>
          </w:p>
        </w:tc>
        <w:tc>
          <w:tcPr>
            <w:tcW w:w="583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ข้อจำกัดเรื่องไม่มีการสำรองข้อมูลอัตโนมัติ และข้อเสนอแนะให้สำรองฐานข้อมูลทุกวัน</w:t>
            </w:r>
          </w:p>
        </w:tc>
        <w:tc>
          <w:tcPr>
            <w:tcW w:w="20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5.3.7 5.4.1.8</w:t>
            </w:r>
          </w:p>
        </w:tc>
        <w:tc>
          <w:tcPr>
            <w:tcW w:w="103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95 97</w:t>
            </w:r>
          </w:p>
        </w:tc>
      </w:tr>
      <w:tr>
        <w:trPr>
          <w:cantSplit/>
        </w:trPr>
        <w:tc>
          <w:tcPr>
            <w:tcW w:w="70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38</w:t>
            </w:r>
          </w:p>
        </w:tc>
        <w:tc>
          <w:tcPr>
            <w:tcW w:w="583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รูป C2 ระบุว่าช่องทางผลักข้อมูลใช้ WebSocket และสำรองด้วย SSE และอธิบายว่าหน้าจอคิวโหลดใหม่ทั้งหมดเมื่อต่อสายกลับ</w:t>
            </w:r>
          </w:p>
        </w:tc>
        <w:tc>
          <w:tcPr>
            <w:tcW w:w="20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3.3.3 รูปที่ 3.4</w:t>
            </w:r>
          </w:p>
        </w:tc>
        <w:tc>
          <w:tcPr>
            <w:tcW w:w="103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36–37</w:t>
            </w:r>
          </w:p>
        </w:tc>
      </w:tr>
      <w:tr>
        <w:trPr>
          <w:cantSplit/>
        </w:trPr>
        <w:tc>
          <w:tcPr>
            <w:tcW w:w="70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39</w:t>
            </w:r>
          </w:p>
        </w:tc>
        <w:tc>
          <w:tcPr>
            <w:tcW w:w="583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ภาพหน้าจอขายหน้าร้านถ่ายใหม่ ให้ยอดรวมตรงกับหน้ารับชำระด้วย QR (525.00 บาท)</w:t>
            </w:r>
          </w:p>
        </w:tc>
        <w:tc>
          <w:tcPr>
            <w:tcW w:w="20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หัวข้อ 4.2</w:t>
            </w:r>
          </w:p>
        </w:tc>
        <w:tc>
          <w:tcPr>
            <w:tcW w:w="103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65–76</w:t>
            </w:r>
          </w:p>
        </w:tc>
      </w:tr>
    </w:tbl>
    <w:bookmarkEnd w:id="22"/>
    <w:bookmarkStart w:id="23" w:name="สงทแกเพราะเดมไมตรงกบระบบจรง"/>
    <w:p>
      <w:pPr>
        <w:pStyle w:val="Heading1"/>
      </w:pPr>
      <w:r>
        <w:t xml:space="preserve">3. สิ่งที่แก้เพราะเดิมไม่ตรงกับระบบจริง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955"/>
        <w:gridCol w:w="3284"/>
        <w:gridCol w:w="4399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95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เรื่อง</w:t>
            </w:r>
          </w:p>
        </w:tc>
        <w:tc>
          <w:tcPr>
            <w:shd w:val="clear" w:color="auto" w:fill="F2F2F2"/>
            <w:tcW w:w="3284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เดิม</w:t>
            </w:r>
          </w:p>
        </w:tc>
        <w:tc>
          <w:tcPr>
            <w:shd w:val="clear" w:color="auto" w:fill="F2F2F2"/>
            <w:tcW w:w="439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แก้เป็น</w:t>
            </w:r>
          </w:p>
        </w:tc>
      </w:tr>
      <w:tr>
        <w:trPr>
          <w:cantSplit/>
        </w:trPr>
        <w:tc>
          <w:tcPr>
            <w:tcW w:w="195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การเชื่อมต่อแบบเข้ารหัส</w:t>
            </w:r>
          </w:p>
        </w:tc>
        <w:tc>
          <w:tcPr>
            <w:tcW w:w="328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บทที่ 2 และ 3 เขียนว่าเข้าระบบผ่านช่องทางที่เข้ารหัสเท่านั้น</w:t>
            </w:r>
          </w:p>
        </w:tc>
        <w:tc>
          <w:tcPr>
            <w:tcW w:w="439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ระบบที่ร้านยังใช้การเชื่อมต่อแบบไม่เข้ารหัส ระบุเป็นข้อจำกัดในหัวข้อ 1.3.3 และ 5.3.6</w:t>
            </w:r>
          </w:p>
        </w:tc>
      </w:tr>
      <w:tr>
        <w:trPr>
          <w:cantSplit/>
        </w:trPr>
        <w:tc>
          <w:tcPr>
            <w:tcW w:w="195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การบันทึกประวัติ</w:t>
            </w:r>
          </w:p>
        </w:tc>
        <w:tc>
          <w:tcPr>
            <w:tcW w:w="328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SRS เขียนว่าทุกโมดูลบันทึกประวัติในธุรกรรมเดียวกับงาน</w:t>
            </w:r>
          </w:p>
        </w:tc>
        <w:tc>
          <w:tcPr>
            <w:tcW w:w="439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BE-01 และ BE-08 บันทึกแยก งานที่แก้หลายตารางจึงอยู่ในธุรกรรมเดียว</w:t>
            </w:r>
          </w:p>
        </w:tc>
      </w:tr>
      <w:tr>
        <w:trPr>
          <w:cantSplit/>
        </w:trPr>
        <w:tc>
          <w:tcPr>
            <w:tcW w:w="195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ระยะเวลาโครงงานใน SRS</w:t>
            </w:r>
          </w:p>
        </w:tc>
        <w:tc>
          <w:tcPr>
            <w:tcW w:w="328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หนึ่งภาคการศึกษา</w:t>
            </w:r>
          </w:p>
        </w:tc>
        <w:tc>
          <w:tcPr>
            <w:tcW w:w="439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6 เดือน ตรงกับบทที่ 1</w:t>
            </w:r>
          </w:p>
        </w:tc>
      </w:tr>
      <w:tr>
        <w:trPr>
          <w:cantSplit/>
        </w:trPr>
        <w:tc>
          <w:tcPr>
            <w:tcW w:w="195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การพิมพ์บนวินโดวส์ใน SRS</w:t>
            </w:r>
          </w:p>
        </w:tc>
        <w:tc>
          <w:tcPr>
            <w:tcW w:w="328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ใช้คำสั่งคิวพิมพ์ของแมคและลินุกซ์</w:t>
            </w:r>
          </w:p>
        </w:tc>
        <w:tc>
          <w:tcPr>
            <w:tcW w:w="439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ส่งผ่านเครื่องพิมพ์ที่แชร์บนวินโดวส์</w:t>
            </w:r>
          </w:p>
        </w:tc>
      </w:tr>
      <w:tr>
        <w:trPr>
          <w:cantSplit/>
        </w:trPr>
        <w:tc>
          <w:tcPr>
            <w:tcW w:w="195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แผนภาพกรณีการใช้งาน</w:t>
            </w:r>
          </w:p>
        </w:tc>
        <w:tc>
          <w:tcPr>
            <w:tcW w:w="328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กล่องสี่เหลี่ยม ไม่มีกรอบระบบ ชื่อบางกรณีไม่ตรงตาราง</w:t>
            </w:r>
          </w:p>
        </w:tc>
        <w:tc>
          <w:tcPr>
            <w:tcW w:w="439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วงรีในกรอบระบบ ผู้กระทำรูปคน ชื่อตรงตารางที่ 3.7</w:t>
            </w:r>
          </w:p>
        </w:tc>
      </w:tr>
    </w:tbl>
    <w:bookmarkEnd w:id="23"/>
    <w:bookmarkStart w:id="24" w:name="การจดรปเลมเพมเตม"/>
    <w:p>
      <w:pPr>
        <w:pStyle w:val="Heading1"/>
      </w:pPr>
      <w:r>
        <w:t xml:space="preserve">4. การจัดรูปเล่มเพิ่มเติม</w:t>
      </w:r>
    </w:p>
    <w:p>
      <w:pPr>
        <w:pStyle w:val="FirstParagraph"/>
      </w:pPr>
      <w:r>
        <w:t xml:space="preserve">เล่มไม่มีสัญลักษณ์หัวข้อย่อยแบบจุด รายการที่เคยเป็นจุดในภาคผนวก ก เขียนเป็นย่อหน้าแทน โค้ด ชื่อฟังก์ชัน และที่อยู่ไฟล์ในเนื้อความใช้ฟอนต์ TH Sarabun New ขนาด 16 พอยต์เท่าเนื้อความตามข้อ 3.1 ของคู่มือ และตัดบรรทัดได้ที่รอยต่อคำ บรรทัดจึงไม่ถูกยืดจนตัวอักษรห่างกัน และรูปที่ 3.1 วาดใหม่เป็นแนวนอนเพื่อไม่ให้เหลือที่ว่าง ช่องว่างท้ายหน้าที่เหลืออยู่มีเฉพาะหน้าสุดท้ายของแต่ละบทและภาคผนวก</w:t>
      </w:r>
    </w:p>
    <w:bookmarkEnd w:id="24"/>
    <w:bookmarkStart w:id="25" w:name="สงทผจดทำตองตรวจหรอทำเอง"/>
    <w:p>
      <w:pPr>
        <w:pStyle w:val="Heading1"/>
      </w:pPr>
      <w:r>
        <w:t xml:space="preserve">5. สิ่งที่ผู้จัดทำต้องตรวจหรือทำเอง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3750"/>
        <w:gridCol w:w="5888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3750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เรื่อง</w:t>
            </w:r>
          </w:p>
        </w:tc>
        <w:tc>
          <w:tcPr>
            <w:shd w:val="clear" w:color="auto" w:fill="F2F2F2"/>
            <w:tcW w:w="588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เหตุผล</w:t>
            </w:r>
          </w:p>
        </w:tc>
      </w:tr>
      <w:tr>
        <w:trPr>
          <w:cantSplit/>
        </w:trPr>
        <w:tc>
          <w:tcPr>
            <w:tcW w:w="375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เขียนหัวข้อ 5.5 ใหม่ด้วยภาษาของตนเอง</w:t>
            </w:r>
          </w:p>
        </w:tc>
        <w:tc>
          <w:tcPr>
            <w:tcW w:w="588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เป็นฉบับร่างจากเหตุการณ์จริงในบทที่ 5 อาจารย์จะถามตอนสัมภาษณ์</w:t>
            </w:r>
          </w:p>
        </w:tc>
      </w:tr>
      <w:tr>
        <w:trPr>
          <w:cantSplit/>
        </w:trPr>
        <w:tc>
          <w:tcPr>
            <w:tcW w:w="375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ตรวจการแบ่งบทบาทในตารางที่ 1.3</w:t>
            </w:r>
          </w:p>
        </w:tc>
        <w:tc>
          <w:tcPr>
            <w:tcW w:w="588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ใส่ตามที่แจ้งว่าตรัยรัตน์ทำหลังบ้าน พนาวุฒน์ทำหน้าบ้าน</w:t>
            </w:r>
          </w:p>
        </w:tc>
      </w:tr>
      <w:tr>
        <w:trPr>
          <w:cantSplit/>
        </w:trPr>
        <w:tc>
          <w:tcPr>
            <w:tcW w:w="375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ยืนยันเกณฑ์คิวค้าง 30 นาทีกับเจ้าของร้าน</w:t>
            </w:r>
          </w:p>
        </w:tc>
        <w:tc>
          <w:tcPr>
            <w:tcW w:w="588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ยังเปิดอยู่ใน TBD-03 ของภาคผนวก ก</w:t>
            </w:r>
          </w:p>
        </w:tc>
      </w:tr>
      <w:tr>
        <w:trPr>
          <w:cantSplit/>
        </w:trPr>
        <w:tc>
          <w:tcPr>
            <w:tcW w:w="375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ภาคผนวก ซ บทความวิชาการ</w:t>
            </w:r>
          </w:p>
        </w:tc>
        <w:tc>
          <w:tcPr>
            <w:tcW w:w="588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ยังไม่ได้ทำ ควรถามอาจารย์ก่อนว่าต้องมีหรือไม่</w:t>
            </w:r>
          </w:p>
        </w:tc>
      </w:tr>
    </w:tbl>
    <w:bookmarkEnd w:id="25"/>
    <w:sectPr w:rsidR="00FC693F" w:rsidRPr="0006063C" w:rsidSect="00034616">
      <w:headerReference r:id="rId9" w:type="default"/>
      <w:footerReference r:id="rId10" w:type="default"/>
      <w:pgSz w:h="16838" w:w="11906"/>
      <w:pgMar w:top="1020" w:right="1134" w:bottom="1020" w:left="1134" w:header="397" w:footer="397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eastAsia="TH Sarabun New" w:cs="TH Sarabun New"/>
        <w:b w:val="0"/>
        <w:bCs w:val="0"/>
        <w:color w:val="000000"/>
        <w:sz w:val="24"/>
        <w:cs/>
        <w:szCs w:val="24"/>
      </w:rPr>
      <w:t xml:space="preserve">อำพร OMS • สรุปการแก้ไขเล่ม • </w:t>
    </w:r>
    <w:r>
      <w:rPr>
        <w:rFonts w:ascii="TH Sarabun New" w:hAnsi="TH Sarabun New" w:eastAsia="TH Sarabun New" w:cs="TH Sarabun New"/>
        <w:color w:val="000000"/>
        <w:sz w:val="24"/>
        <w:szCs w:val="24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New" w:hAnsi="TH Sarabun New" w:eastAsia="TH Sarabun New" w:cs="TH Sarabun New"/>
        <w:b/>
        <w:bCs/>
        <w:color w:val="000000"/>
        <w:sz w:val="24"/>
        <w:cs/>
        <w:szCs w:val="24"/>
      </w:rPr>
      <w:t>อำพร OMS  •  สรุปการแก้ไขเล่มปริญญานิพนธ์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259" w:lineRule="auto"/>
    </w:pPr>
    <w:rPr>
      <w:rFonts w:ascii="TH Sarabun New" w:cs="TH Sarabun New" w:eastAsia="TH Sarabun New" w:hAnsi="TH Sarabun New"/>
      <w:color w:val="000000"/>
      <w:sz w:val="32"/>
      <w:szCs w:val="3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TH Sarabun New" w:cs="TH Sarabun New" w:eastAsia="TH Sarabun New" w:hAnsi="TH Sarabun New"/>
      <w:sz w:val="32"/>
      <w:szCs w:val="32"/>
    </w:rPr>
  </w:style>
  <w:style w:customStyle="1" w:styleId="HeaderChar" w:type="character">
    <w:name w:val="Header Char"/>
    <w:basedOn w:val="DefaultParagraphFont"/>
    <w:link w:val="Header"/>
    <w:uiPriority w:val="99"/>
    <w:rsid w:val="00E618BF"/>
    <w:rPr>
      <w:rFonts w:ascii="TH Sarabun New" w:cs="TH Sarabun New" w:eastAsia="TH Sarabun New" w:hAnsi="TH Sarabun New"/>
      <w:sz w:val="32"/>
      <w:szCs w:val="32"/>
    </w:rPr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TH Sarabun New" w:cs="TH Sarabun New" w:eastAsia="TH Sarabun New" w:hAnsi="TH Sarabun New"/>
      <w:sz w:val="32"/>
      <w:szCs w:val="32"/>
    </w:rPr>
  </w:style>
  <w:style w:customStyle="1" w:styleId="FooterChar" w:type="character">
    <w:name w:val="Footer Char"/>
    <w:basedOn w:val="DefaultParagraphFont"/>
    <w:link w:val="Footer"/>
    <w:uiPriority w:val="99"/>
    <w:rsid w:val="00E618BF"/>
    <w:rPr>
      <w:rFonts w:ascii="TH Sarabun New" w:cs="TH Sarabun New" w:eastAsia="TH Sarabun New" w:hAnsi="TH Sarabun New"/>
      <w:sz w:val="32"/>
      <w:szCs w:val="32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200"/>
      <w:outlineLvl w:val="0"/>
    </w:pPr>
    <w:rPr>
      <w:rFonts w:ascii="TH Sarabun New" w:cs="TH Sarabun New" w:eastAsia="TH Sarabun New" w:hAnsi="TH Sarabun New"/>
      <w:b/>
      <w:bCs/>
      <w:color w:val="000000"/>
      <w:sz w:val="40"/>
      <w:szCs w:val="40"/>
      <w:b/>
      <w:bCs/>
      <w:color w:val="00000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200"/>
      <w:outlineLvl w:val="1"/>
    </w:pPr>
    <w:rPr>
      <w:rFonts w:ascii="TH Sarabun New" w:cs="TH Sarabun New" w:eastAsia="TH Sarabun New" w:hAnsi="TH Sarabun New"/>
      <w:b/>
      <w:bCs/>
      <w:color w:val="000000"/>
      <w:sz w:val="36"/>
      <w:szCs w:val="36"/>
      <w:b/>
      <w:bCs/>
      <w:color w:val="000000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200"/>
      <w:outlineLvl w:val="2"/>
    </w:pPr>
    <w:rPr>
      <w:rFonts w:ascii="TH Sarabun New" w:cs="TH Sarabun New" w:eastAsia="TH Sarabun New" w:hAnsi="TH Sarabun New"/>
      <w:b/>
      <w:bCs/>
      <w:color w:val="000000"/>
      <w:sz w:val="32"/>
      <w:szCs w:val="32"/>
      <w:b/>
      <w:bCs/>
      <w:color w:val="000000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TH Sarabun New" w:cs="TH Sarabun New" w:eastAsia="TH Sarabun New" w:hAnsi="TH Sarabun New"/>
      <w:b/>
      <w:bCs/>
      <w:i/>
      <w:iCs/>
      <w:color w:val="000000"/>
      <w:sz w:val="32"/>
      <w:szCs w:val="32"/>
      <w:b/>
      <w:bCs/>
      <w:color w:val="00000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="TH Sarabun New" w:cs="TH Sarabun New" w:eastAsia="TH Sarabun New" w:hAnsi="TH Sarabun New"/>
      <w:color w:val="000000"/>
      <w:sz w:val="32"/>
      <w:szCs w:val="32"/>
      <w:b/>
      <w:bCs/>
      <w:color w:val="00000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="TH Sarabun New" w:cs="TH Sarabun New" w:eastAsia="TH Sarabun New" w:hAnsi="TH Sarabun New"/>
      <w:i/>
      <w:iCs/>
      <w:color w:val="000000"/>
      <w:sz w:val="32"/>
      <w:szCs w:val="32"/>
      <w:b/>
      <w:bCs/>
      <w:color w:val="00000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="TH Sarabun New" w:cs="TH Sarabun New" w:eastAsia="TH Sarabun New" w:hAnsi="TH Sarabun New"/>
      <w:color w:val="000000"/>
      <w:sz w:val="32"/>
      <w:szCs w:val="32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  <w:rPr>
      <w:rFonts w:ascii="TH Sarabun New" w:cs="TH Sarabun New" w:eastAsia="TH Sarabun New" w:hAnsi="TH Sarabun New"/>
      <w:sz w:val="32"/>
      <w:szCs w:val="32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  <w:rPr>
      <w:rFonts w:ascii="TH Sarabun New" w:cs="TH Sarabun New" w:eastAsia="TH Sarabun New" w:hAnsi="TH Sarabun New"/>
      <w:sz w:val="32"/>
      <w:szCs w:val="32"/>
    </w:r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="TH Sarabun New" w:cs="TH Sarabun New" w:eastAsia="TH Sarabun New" w:hAnsi="TH Sarabun New"/>
      <w:b/>
      <w:bCs/>
      <w:color w:val="000000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="TH Sarabun New" w:cs="TH Sarabun New" w:eastAsia="TH Sarabun New" w:hAnsi="TH Sarabun New"/>
      <w:b/>
      <w:bCs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="TH Sarabun New" w:cs="TH Sarabun New" w:eastAsia="TH Sarabun New" w:hAnsi="TH Sarabun New"/>
      <w:b/>
      <w:bCs/>
      <w:color w:val="000000"/>
      <w:sz w:val="32"/>
      <w:szCs w:val="32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spacing w:after="100" w:before="0" w:line="240" w:lineRule="auto"/>
      <w:contextualSpacing/>
    </w:pPr>
    <w:rPr>
      <w:rFonts w:ascii="TH Sarabun New" w:cs="TH Sarabun New" w:eastAsia="TH Sarabun New" w:hAnsi="TH Sarabun New"/>
      <w:b/>
      <w:color w:val="000000"/>
      <w:spacing w:val="5"/>
      <w:kern w:val="28"/>
      <w:sz w:val="32"/>
      <w:szCs w:val="3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="TH Sarabun New" w:cs="TH Sarabun New" w:eastAsia="TH Sarabun New" w:hAnsi="TH Sarabun New"/>
      <w:color w:val="000000"/>
      <w:spacing w:val="5"/>
      <w:kern w:val="28"/>
      <w:sz w:val="32"/>
      <w:szCs w:val="3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H Sarabun New" w:cs="TH Sarabun New" w:eastAsia="TH Sarabun New" w:hAnsi="TH Sarabun New"/>
      <w:i/>
      <w:iCs/>
      <w:color w:val="000000"/>
      <w:spacing w:val="15"/>
      <w:sz w:val="32"/>
      <w:szCs w:val="32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="TH Sarabun New" w:cs="TH Sarabun New" w:eastAsia="TH Sarabun New" w:hAnsi="TH Sarabun New"/>
      <w:i/>
      <w:iCs/>
      <w:color w:val="000000"/>
      <w:spacing w:val="15"/>
      <w:sz w:val="32"/>
      <w:szCs w:val="32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H Sarabun New" w:cs="TH Sarabun New" w:eastAsia="TH Sarabun New" w:hAnsi="TH Sarabun New"/>
      <w:sz w:val="32"/>
      <w:szCs w:val="32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H Sarabun New" w:cs="TH Sarabun New" w:eastAsia="TH Sarabun New" w:hAnsi="TH Sarabun New"/>
      <w:sz w:val="32"/>
      <w:szCs w:val="3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  <w:rPr>
      <w:rFonts w:ascii="TH Sarabun New" w:cs="TH Sarabun New" w:eastAsia="TH Sarabun New" w:hAnsi="TH Sarabun New"/>
      <w:sz w:val="32"/>
      <w:szCs w:val="32"/>
    </w:rPr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H Sarabun New" w:cs="TH Sarabun New" w:eastAsia="TH Sarabun New" w:hAnsi="TH Sarabun New"/>
      <w:sz w:val="32"/>
      <w:szCs w:val="32"/>
    </w:rPr>
  </w:style>
  <w:style w:customStyle="1" w:styleId="BodyText2Char" w:type="character">
    <w:name w:val="Body Text 2 Char"/>
    <w:basedOn w:val="DefaultParagraphFont"/>
    <w:link w:val="BodyText2"/>
    <w:uiPriority w:val="99"/>
    <w:rsid w:val="00AA1D8D"/>
    <w:rPr>
      <w:rFonts w:ascii="TH Sarabun New" w:cs="TH Sarabun New" w:eastAsia="TH Sarabun New" w:hAnsi="TH Sarabun New"/>
      <w:sz w:val="32"/>
      <w:szCs w:val="32"/>
    </w:rPr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H Sarabun New" w:cs="TH Sarabun New" w:eastAsia="TH Sarabun New" w:hAnsi="TH Sarabun New"/>
      <w:sz w:val="32"/>
      <w:szCs w:val="32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ascii="TH Sarabun New" w:cs="TH Sarabun New" w:eastAsia="TH Sarabun New" w:hAnsi="TH Sarabun New"/>
      <w:sz w:val="32"/>
      <w:szCs w:val="32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H Sarabun New" w:cs="TH Sarabun New" w:eastAsia="TH Sarabun New" w:hAnsi="TH Sarabun New"/>
      <w:sz w:val="32"/>
      <w:szCs w:val="32"/>
    </w:r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TH Sarabun New" w:cs="TH Sarabun New" w:eastAsia="TH Sarabun New" w:hAnsi="TH Sarabun New"/>
      <w:sz w:val="32"/>
      <w:szCs w:val="32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TH Sarabun New" w:cs="TH Sarabun New" w:eastAsia="TH Sarabun New" w:hAnsi="TH Sarabun New"/>
      <w:sz w:val="32"/>
      <w:szCs w:val="32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rFonts w:ascii="TH Sarabun New" w:cs="TH Sarabun New" w:eastAsia="TH Sarabun New" w:hAnsi="TH Sarabun New"/>
      <w:i/>
      <w:iCs/>
      <w:color w:themeColor="text1" w:val="000000"/>
      <w:sz w:val="32"/>
      <w:szCs w:val="32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ascii="TH Sarabun New" w:cs="TH Sarabun New" w:eastAsia="TH Sarabun New" w:hAnsi="TH Sarabun New"/>
      <w:i/>
      <w:iCs/>
      <w:color w:themeColor="text1" w:val="000000"/>
      <w:sz w:val="32"/>
      <w:szCs w:val="32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="TH Sarabun New" w:cs="TH Sarabun New" w:eastAsia="TH Sarabun New" w:hAnsi="TH Sarabun New"/>
      <w:b/>
      <w:bCs/>
      <w:i/>
      <w:iCs/>
      <w:color w:val="000000"/>
      <w:sz w:val="32"/>
      <w:szCs w:val="3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="TH Sarabun New" w:cs="TH Sarabun New" w:eastAsia="TH Sarabun New" w:hAnsi="TH Sarabun New"/>
      <w:color w:val="000000"/>
      <w:sz w:val="32"/>
      <w:szCs w:val="32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="TH Sarabun New" w:cs="TH Sarabun New" w:eastAsia="TH Sarabun New" w:hAnsi="TH Sarabun New"/>
      <w:color w:val="000000"/>
      <w:sz w:val="32"/>
      <w:szCs w:val="32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H Sarabun New" w:cs="TH Sarabun New" w:eastAsia="TH Sarabun New" w:hAnsi="TH Sarabun New"/>
      <w:b/>
      <w:bCs/>
      <w:color w:themeColor="accent1" w:val="4F81BD"/>
      <w:sz w:val="32"/>
      <w:szCs w:val="32"/>
    </w:rPr>
  </w:style>
  <w:style w:styleId="Strong" w:type="character">
    <w:name w:val="Strong"/>
    <w:basedOn w:val="DefaultParagraphFont"/>
    <w:uiPriority w:val="22"/>
    <w:qFormat/>
    <w:rsid w:val="00FC693F"/>
    <w:rPr>
      <w:rFonts w:ascii="TH Sarabun New" w:cs="TH Sarabun New" w:eastAsia="TH Sarabun New" w:hAnsi="TH Sarabun New"/>
      <w:b/>
      <w:bCs/>
      <w:sz w:val="32"/>
      <w:szCs w:val="32"/>
    </w:rPr>
  </w:style>
  <w:style w:styleId="Emphasis" w:type="character">
    <w:name w:val="Emphasis"/>
    <w:basedOn w:val="DefaultParagraphFont"/>
    <w:uiPriority w:val="20"/>
    <w:qFormat/>
    <w:rsid w:val="00FC693F"/>
    <w:rPr>
      <w:rFonts w:ascii="TH Sarabun New" w:cs="TH Sarabun New" w:eastAsia="TH Sarabun New" w:hAnsi="TH Sarabun New"/>
      <w:i/>
      <w:iCs/>
      <w:sz w:val="32"/>
      <w:szCs w:val="32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ascii="TH Sarabun New" w:cs="TH Sarabun New" w:eastAsia="TH Sarabun New" w:hAnsi="TH Sarabun New"/>
      <w:b/>
      <w:bCs/>
      <w:i/>
      <w:iCs/>
      <w:color w:themeColor="accent1" w:val="4F81BD"/>
      <w:sz w:val="32"/>
      <w:szCs w:val="32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ascii="TH Sarabun New" w:cs="TH Sarabun New" w:eastAsia="TH Sarabun New" w:hAnsi="TH Sarabun New"/>
      <w:b/>
      <w:bCs/>
      <w:i/>
      <w:iCs/>
      <w:color w:themeColor="accent1" w:val="4F81BD"/>
      <w:sz w:val="32"/>
      <w:szCs w:val="32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ascii="TH Sarabun New" w:cs="TH Sarabun New" w:eastAsia="TH Sarabun New" w:hAnsi="TH Sarabun New"/>
      <w:i/>
      <w:iCs/>
      <w:color w:themeColor="text1" w:themeTint="7F" w:val="808080"/>
      <w:sz w:val="32"/>
      <w:szCs w:val="32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ascii="TH Sarabun New" w:cs="TH Sarabun New" w:eastAsia="TH Sarabun New" w:hAnsi="TH Sarabun New"/>
      <w:b/>
      <w:bCs/>
      <w:i/>
      <w:iCs/>
      <w:color w:themeColor="accent1" w:val="4F81BD"/>
      <w:sz w:val="32"/>
      <w:szCs w:val="32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ascii="TH Sarabun New" w:cs="TH Sarabun New" w:eastAsia="TH Sarabun New" w:hAnsi="TH Sarabun New"/>
      <w:smallCaps/>
      <w:color w:themeColor="accent2" w:val="C0504D"/>
      <w:sz w:val="32"/>
      <w:szCs w:val="32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ascii="TH Sarabun New" w:cs="TH Sarabun New" w:eastAsia="TH Sarabun New" w:hAnsi="TH Sarabun New"/>
      <w:b/>
      <w:bCs/>
      <w:smallCaps/>
      <w:color w:themeColor="accent2" w:val="C0504D"/>
      <w:spacing w:val="5"/>
      <w:sz w:val="32"/>
      <w:szCs w:val="32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ascii="TH Sarabun New" w:cs="TH Sarabun New" w:eastAsia="TH Sarabun New" w:hAnsi="TH Sarabun New"/>
      <w:b/>
      <w:bCs/>
      <w:smallCaps/>
      <w:color w:val="000000"/>
      <w:spacing w:val="5"/>
      <w:sz w:val="32"/>
      <w:szCs w:val="32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H Sarabun New" w:cs="TH Sarabun New" w:eastAsia="TH Sarabun New" w:hAnsi="TH Sarabun New"/>
      <w:color w:val="000000"/>
      <w:sz w:val="32"/>
      <w:szCs w:val="32"/>
    </w:r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VerbatimChar" w:type="character">
    <w:name w:val="Verbatim Char"/>
    <w:basedOn w:val="BodyTextChar"/>
    <w:rPr>
      <w:rFonts w:ascii="Consolas" w:hAnsi="Consolas"/>
      <w:sz w:val="22"/>
      <w:szCs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Id="rId11" Target="media/image1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2026-10-14T23:31:44Z</dcterms:created>
  <dcterms:modified xsi:type="dcterms:W3CDTF">2026-10-14T23:31:44Z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