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jpg" ContentType="image/jpeg"/>
  <Override PartName="/word/media/rId59.png" ContentType="image/png"/>
  <Override PartName="/word/media/rId42.png" ContentType="image/png"/>
  <Override PartName="/word/media/rId128.png" ContentType="image/png"/>
  <Override PartName="/word/media/rId124.png" ContentType="image/png"/>
  <Override PartName="/word/media/image7.png" ContentType="image/png"/>
  <Override PartName="/word/media/image6.png" ContentType="image/png"/>
  <Override PartName="/word/media/image4.png" ContentType="image/png"/>
  <Override PartName="/word/media/image5.png" ContentType="image/png"/>
  <Override PartName="/word/media/image1.jp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1143000" cy="1143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ssets/branding/logo_se_rmut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998483" cy="114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ssets/branding/logo_rmut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483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software-requirements-specification"/>
    <w:p>
      <w:pPr>
        <w:pStyle w:val="Title"/>
        <w:jc w:val="center"/>
        <w:rPr>
          <w:rFonts w:ascii="TH Sarabun New" w:hAnsi="TH Sarabun New" w:cs="TH Sarabun New" w:hint="cs"/>
          <w:sz w:val="56"/>
          <w:szCs w:val="48"/>
        </w:rPr>
      </w:pPr>
      <w:r>
        <w:rPr>
          <w:rFonts w:ascii="TH Sarabun New" w:hAnsi="TH Sarabun New" w:cs="TH Sarabun New" w:hint="cs"/>
          <w:sz w:val="56"/>
          <w:szCs w:val="48"/>
        </w:rPr>
        <w:t xml:space="preserve">Software Requirements Specification</w:t>
      </w:r>
    </w:p>
    <w:bookmarkStart w:id="32" w:name="X4c5fe387d112fd9031dae3568a5b1c6079e5856"/>
    <w:p>
      <w:pPr>
        <w:pStyle w:val="Subtitle"/>
        <w:jc w:val="center"/>
        <w:rPr>
          <w:rFonts w:ascii="TH Sarabun New" w:hAnsi="TH Sarabun New" w:cs="TH Sarabun New" w:hint="cs"/>
        </w:rPr>
      </w:pPr>
      <w:r>
        <w:rPr>
          <w:rFonts w:ascii="TH Sarabun New" w:hAnsi="TH Sarabun New" w:cs="TH Sarabun New" w:hint="cs"/>
        </w:rPr>
        <w:t xml:space="preserve">SOML — ระบบจัดการคำสั่งซื้อและตรวจสอบคลังสินค้า (Use Case SRS)</w:t>
      </w:r>
    </w:p>
    <w:bookmarkStart w:id="31" w:name="X2d3e8f5a3626254e541f0b6f0a8ce558f8c3e6b"/>
    <w:p>
      <w:pPr>
        <w:jc w:val="center"/>
        <w:rPr>
          <w:rFonts w:cs="TH Sarabun New" w:hint="cs"/>
          <w:sz w:val="32"/>
        </w:rPr>
      </w:pPr>
      <w:r>
        <w:rPr>
          <w:rFonts w:cs="TH Sarabun New" w:hint="cs"/>
          <w:sz w:val="32"/>
        </w:rPr>
        <w:t xml:space="preserve">เอกสารข้อกำหนดความต้องการซอฟต์แวร์ตามโครงสร้าง IEEE SRS Template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(จัดวางจากบทที่ 1–4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ส่วน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Reason for Changes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ระยะเก็บความต้องการ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ระยะออกแบบ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introduction"/>
    <w:p>
      <w:pPr>
        <w:pStyle w:val="Heading1"/>
      </w:pPr>
      <w:r>
        <w:t xml:space="preserve">1. Introduction</w:t>
      </w:r>
    </w:p>
    <w:bookmarkStart w:id="36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36"/>
    <w:bookmarkStart w:id="37" w:name="document-conventions"/>
    <w:p>
      <w:pPr>
        <w:pStyle w:val="Heading2"/>
      </w:pPr>
      <w:r>
        <w:t xml:space="preserve">1.2 Document Conventions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Convention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ในเอกสารนี้กำหนดขึ้นในเอกสารฉบับนี้และใช้ร่วมกันตลอดทั้งโครงงาน ส่วนรหัส EV, US, AC, M, CON และ TBD เพิ่มขึ้นตามโครงสร้างของแบบฟอร์ม</w:t>
      </w:r>
    </w:p>
    <w:bookmarkEnd w:id="37"/>
    <w:bookmarkStart w:id="38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ผู้อ่าน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อ่านส่วนที่แนะนำ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38"/>
    <w:bookmarkStart w:id="39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In Scope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39"/>
    <w:bookmarkStart w:id="40" w:name="references"/>
    <w:p>
      <w:pPr>
        <w:pStyle w:val="Heading2"/>
      </w:pPr>
      <w:r>
        <w:t xml:space="preserve">1.5 References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Ref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เอกสาร/แหล่งอ้างอิง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3" w:name="overall-description"/>
    <w:p>
      <w:pPr>
        <w:pStyle w:val="Heading1"/>
      </w:pPr>
      <w:r>
        <w:t xml:space="preserve">2. Overall Description</w:t>
      </w:r>
    </w:p>
    <w:bookmarkStart w:id="45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6261100" cy="4536578"/>
            <wp:effectExtent b="0" l="0" r="0" t="0"/>
            <wp:docPr descr="แผนภาพบริบทของระบบ" title="" id="43" name="Picture"/>
            <a:graphic>
              <a:graphicData uri="http://schemas.openxmlformats.org/drawingml/2006/picture">
                <pic:pic>
                  <pic:nvPicPr>
                    <pic:cNvPr descr="assets/diagrams/fig3-02_c1_contex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3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bookmarkEnd w:id="45"/>
    <w:bookmarkStart w:id="47" w:name="product-functions"/>
    <w:p>
      <w:pPr>
        <w:pStyle w:val="Heading2"/>
      </w:pPr>
      <w:r>
        <w:t xml:space="preserve">2.2 Product Functions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Capability Group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46" w:name="user-story-summary"/>
    <w:p>
      <w:pPr>
        <w:pStyle w:val="Heading3"/>
      </w:pPr>
      <w:r>
        <w:t xml:space="preserve">User Story Summary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46"/>
    <w:bookmarkEnd w:id="47"/>
    <w:bookmarkStart w:id="48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Class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ลักษณะ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48"/>
    <w:bookmarkStart w:id="49" w:name="operating-environment"/>
    <w:p>
      <w:pPr>
        <w:pStyle w:val="Heading2"/>
      </w:pPr>
      <w:r>
        <w:t xml:space="preserve">2.4 Operating Environment</w:t>
      </w:r>
    </w:p>
    <w:p>
      <w:pPr>
        <w:pStyle w:val="Compact"/>
        <w:numPr>
          <w:ilvl w:val="0"/>
          <w:numId w:val="1001"/>
        </w:numPr>
      </w:pPr>
      <w:r>
        <w:t xml:space="preserve">ฝั่งผู้ใช้ใช้เว็บเบราว์เซอร์รุ่นล่าสุด Chrome, Edge หรือ Firefox บนคอมพิวเตอร์ แท็บเล็ต หรือสมาร์ตโฟน</w:t>
      </w:r>
    </w:p>
    <w:p>
      <w:pPr>
        <w:pStyle w:val="Compact"/>
        <w:numPr>
          <w:ilvl w:val="0"/>
          <w:numId w:val="1001"/>
        </w:numPr>
      </w:pPr>
      <w:r>
        <w:t xml:space="preserve">ฝั่งเซิร์ฟเวอร์ใช้ Node.js 20 LTS ขึ้นไปร่วมกับ Express.js และฐานข้อมูล MySQL 8.0 กลไกจัดเก็บ InnoDB</w:t>
      </w:r>
    </w:p>
    <w:p>
      <w:pPr>
        <w:pStyle w:val="Compact"/>
        <w:numPr>
          <w:ilvl w:val="0"/>
          <w:numId w:val="1001"/>
        </w:numPr>
      </w:pPr>
      <w:r>
        <w:t xml:space="preserve">อุปกรณ์ต่อพ่วงคือเครื่องพิมพ์ใบเสร็จความร้อนที่รองรับ ESC/POS ต่อผ่าน USB หรือเครือข่าย</w:t>
      </w:r>
    </w:p>
    <w:p>
      <w:pPr>
        <w:pStyle w:val="Compact"/>
        <w:numPr>
          <w:ilvl w:val="0"/>
          <w:numId w:val="1001"/>
        </w:numPr>
      </w:pPr>
      <w:r>
        <w:t xml:space="preserve">ใช้งานบนเครือข่ายภายในร้านที่ครอบคลุมทั้งจุดชำระเงินและคลังสินค้า และเข้าถึงระบบผ่าน HTTPS เท่านั้น</w:t>
      </w:r>
    </w:p>
    <w:bookmarkEnd w:id="49"/>
    <w:bookmarkStart w:id="50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ข้อจำกัด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50"/>
    <w:bookmarkStart w:id="51" w:name="user-documentation"/>
    <w:p>
      <w:pPr>
        <w:pStyle w:val="Heading2"/>
      </w:pPr>
      <w:r>
        <w:t xml:space="preserve">2.6 User Documentation</w:t>
      </w:r>
    </w:p>
    <w:p>
      <w:pPr>
        <w:pStyle w:val="Compact"/>
        <w:numPr>
          <w:ilvl w:val="0"/>
          <w:numId w:val="1002"/>
        </w:numPr>
      </w:pPr>
      <w:r>
        <w:t xml:space="preserve">คู่มือติดตั้งและใช้งานสำหรับผู้ดูแลระบบของร้าน ครอบคลุมขั้นตอนติดตั้ง การตั้งค่าเครื่องพิมพ์ และการทดสอบ</w:t>
      </w:r>
    </w:p>
    <w:p>
      <w:pPr>
        <w:pStyle w:val="Compact"/>
        <w:numPr>
          <w:ilvl w:val="0"/>
          <w:numId w:val="1002"/>
        </w:numPr>
      </w:pPr>
      <w:r>
        <w:t xml:space="preserve">ข้อความแนะนำในหน้าจอสำหรับผู้ใช้ทุกบทบาท กำกับปุ่มที่มีผลถาวรและแจ้งผลของทุกการกระทำ</w:t>
      </w:r>
    </w:p>
    <w:p>
      <w:pPr>
        <w:pStyle w:val="FirstParagraph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51"/>
    <w:bookmarkStart w:id="52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ข้อสมมติ / การพึ่งพา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external-interface-requirements"/>
    <w:p>
      <w:pPr>
        <w:pStyle w:val="Heading1"/>
      </w:pPr>
      <w:r>
        <w:t xml:space="preserve">3. External Interface Requirements</w:t>
      </w:r>
    </w:p>
    <w:bookmarkStart w:id="54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ข้อกำหนดของส่วนต่อประสานผู้ใช้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bookmarkEnd w:id="54"/>
    <w:bookmarkStart w:id="55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55"/>
    <w:bookmarkStart w:id="56" w:name="software-interfaces"/>
    <w:p>
      <w:pPr>
        <w:pStyle w:val="Heading2"/>
      </w:pPr>
      <w:r>
        <w:t xml:space="preserve">3.3 Software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ระบบ/บริการ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บทบาท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รูปแบบการเชื่อมต่อ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56"/>
    <w:bookmarkStart w:id="57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โพรโทคอล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ใช้ระหว่าง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วัตถุประสงค์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112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โดยคงรหัสความต้องการเดิมของโครงงาน</w:t>
      </w:r>
    </w:p>
    <w:p>
      <w:pPr>
        <w:pStyle w:val="CaptionedFigure"/>
      </w:pPr>
      <w:r>
        <w:drawing>
          <wp:inline>
            <wp:extent cx="4023360" cy="7210230"/>
            <wp:effectExtent b="0" l="0" r="0" t="0"/>
            <wp:docPr descr="แผนภาพกรณีการใช้งาน" title="" id="60" name="Picture"/>
            <a:graphic>
              <a:graphicData uri="http://schemas.openxmlformats.org/drawingml/2006/picture">
                <pic:pic>
                  <pic:nvPicPr>
                    <pic:cNvPr descr="assets/diagrams/fig-srs-usecase-al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721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</w:t>
      </w:r>
    </w:p>
    <w:p>
      <w:pPr>
        <w:pStyle w:val="BodyText"/>
      </w:pPr>
      <w:r>
        <w:rPr>
          <w:i/>
          <w:iCs/>
        </w:rPr>
        <w:t xml:space="preserve">ภาพที่ 2 — Use Case Diagram ของระบบ SOML (UC-01 ถึง UC-11 และตัวแสดงทั้งสามบทบาท)</w:t>
      </w:r>
    </w:p>
    <w:bookmarkStart w:id="67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62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3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3"/>
        </w:numPr>
      </w:pPr>
      <w:r>
        <w:t xml:space="preserve">เข้าถึงระบบผ่าน HTTPS ตาม CON-08</w:t>
      </w:r>
    </w:p>
    <w:bookmarkEnd w:id="62"/>
    <w:bookmarkStart w:id="63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4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4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63"/>
    <w:bookmarkStart w:id="64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5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5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5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5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5"/>
        </w:numPr>
      </w:pPr>
      <w:r>
        <w:t xml:space="preserve">ระบบแสดงเมนูตามบทบาทที่ตรวจสอบได้</w:t>
      </w:r>
    </w:p>
    <w:bookmarkEnd w:id="64"/>
    <w:bookmarkStart w:id="65" w:name="alternate-flows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65"/>
    <w:bookmarkStart w:id="66" w:name="exception-flows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66"/>
    <w:bookmarkEnd w:id="67"/>
    <w:bookmarkStart w:id="73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68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ผู้จัดการเข้าสู่ระบบสำเร็จตาม UC-01</w:t>
      </w:r>
    </w:p>
    <w:bookmarkEnd w:id="68"/>
    <w:bookmarkStart w:id="69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7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7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7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69"/>
    <w:bookmarkStart w:id="70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8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8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70"/>
    <w:bookmarkStart w:id="71" w:name="alternate-flows-1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71"/>
    <w:bookmarkStart w:id="72" w:name="exception-flows-1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72"/>
    <w:bookmarkEnd w:id="73"/>
    <w:bookmarkStart w:id="79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74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9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9"/>
        </w:numPr>
      </w:pPr>
      <w:r>
        <w:t xml:space="preserve">ระบบตั้งค่าหมายเลขพร้อมเพย์ของร้านไว้แล้ว</w:t>
      </w:r>
    </w:p>
    <w:bookmarkEnd w:id="74"/>
    <w:bookmarkStart w:id="75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0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10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10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10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75"/>
    <w:bookmarkStart w:id="76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1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11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11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11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11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11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11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76"/>
    <w:bookmarkStart w:id="77" w:name="alternate-flows-2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77"/>
    <w:bookmarkStart w:id="78" w:name="exception-flows-2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78"/>
    <w:bookmarkEnd w:id="79"/>
    <w:bookmarkStart w:id="85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80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2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80"/>
    <w:bookmarkStart w:id="81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3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81"/>
    <w:bookmarkStart w:id="82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4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4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4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4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82"/>
    <w:bookmarkStart w:id="83" w:name="alternate-flows-3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83"/>
    <w:bookmarkStart w:id="84" w:name="exception-flows-3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84"/>
    <w:bookmarkEnd w:id="85"/>
    <w:bookmarkStart w:id="91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86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5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พนักงานทำเครื่องหมายตรวจนับครบทุกรายการแล้ว</w:t>
      </w:r>
    </w:p>
    <w:bookmarkEnd w:id="86"/>
    <w:bookmarkStart w:id="87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6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6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6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6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6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87"/>
    <w:bookmarkStart w:id="88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7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7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7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7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7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7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7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88"/>
    <w:bookmarkStart w:id="89" w:name="alternate-flows-4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89"/>
    <w:bookmarkStart w:id="90" w:name="exception-flows-4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90"/>
    <w:bookmarkEnd w:id="91"/>
    <w:bookmarkStart w:id="92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Stimulus / Condition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System Response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92"/>
    <w:bookmarkStart w:id="98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93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8"/>
        </w:numPr>
      </w:pPr>
      <w:r>
        <w:t xml:space="preserve">ผู้ใช้เข้าสู่ระบบด้วยบทบาทที่มีสิทธิ์</w:t>
      </w:r>
    </w:p>
    <w:bookmarkEnd w:id="93"/>
    <w:bookmarkStart w:id="94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9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94"/>
    <w:bookmarkStart w:id="95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0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20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20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20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95"/>
    <w:bookmarkStart w:id="96" w:name="alternate-flows-5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96"/>
    <w:bookmarkStart w:id="97" w:name="exception-flows-5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97"/>
    <w:bookmarkEnd w:id="98"/>
    <w:bookmarkStart w:id="104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99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1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99"/>
    <w:bookmarkStart w:id="100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2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2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100"/>
    <w:bookmarkStart w:id="101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3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3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3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3"/>
        </w:numPr>
      </w:pPr>
      <w:r>
        <w:t xml:space="preserve">ผู้จัดการทำเครื่องหมายว่าอ่านแล้วเมื่อรับทราบ</w:t>
      </w:r>
    </w:p>
    <w:bookmarkEnd w:id="101"/>
    <w:bookmarkStart w:id="102" w:name="alternate-flows-6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102"/>
    <w:bookmarkStart w:id="103" w:name="exception-flows-6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103"/>
    <w:bookmarkEnd w:id="104"/>
    <w:bookmarkStart w:id="110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105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ผู้จัดการเข้าสู่ระบบสำเร็จ</w:t>
      </w:r>
    </w:p>
    <w:bookmarkEnd w:id="105"/>
    <w:bookmarkStart w:id="106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5"/>
        </w:numPr>
      </w:pPr>
      <w:r>
        <w:t xml:space="preserve">ผลลัพธ์ตรงตามเงื่อนไขที่กรองทุกแถว</w:t>
      </w:r>
    </w:p>
    <w:bookmarkEnd w:id="106"/>
    <w:bookmarkStart w:id="107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6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107"/>
    <w:bookmarkStart w:id="108" w:name="alternate-flows-7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108"/>
    <w:bookmarkStart w:id="109" w:name="exception-flows-7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109"/>
    <w:bookmarkEnd w:id="110"/>
    <w:bookmarkStart w:id="111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other-nonfunctional-requirements"/>
    <w:p>
      <w:pPr>
        <w:pStyle w:val="Heading1"/>
      </w:pPr>
      <w:r>
        <w:t xml:space="preserve">5. Other Nonfunctional Requirements</w:t>
      </w:r>
    </w:p>
    <w:bookmarkStart w:id="113" w:name="performance-requirements"/>
    <w:p>
      <w:pPr>
        <w:pStyle w:val="Heading2"/>
      </w:pPr>
      <w:r>
        <w:t xml:space="preserve">5.1 Performance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เกณฑ์ที่กำหนด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113"/>
    <w:bookmarkStart w:id="114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14"/>
    <w:bookmarkStart w:id="115" w:name="security-requirements"/>
    <w:p>
      <w:pPr>
        <w:pStyle w:val="Heading2"/>
      </w:pPr>
      <w:r>
        <w:t xml:space="preserve">5.3 Security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การเรียกผ่าน http ต้องถูกส่งต่อไปยัง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 ทุกคำขอต้องแนบโทเคนและถูกตรวจสิทธิ์ก่อนประมวลผล</w:t>
            </w:r>
          </w:p>
        </w:tc>
        <w:tc>
          <w:tcPr/>
          <w:p>
            <w:pPr>
              <w:pStyle w:val="Compact"/>
            </w:pPr>
            <w:r>
              <w:t xml:space="preserve">คำขอไม่มีโทเคนหรือโทเคนปลอมได้รหัส 401 บทบาทที่ไม่มีสิทธิ์ได้รหัส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รหัสผ่านต้องเก็บเป็นค่าที่ผ่านการเข้ารหัส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ไม่ระบุว่าผิดที่ชื่อผู้ใช้หรือรหัสผ่าน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รวมถึงรหัส QR ในภาพหน้าจอ</w:t>
            </w:r>
          </w:p>
        </w:tc>
      </w:tr>
    </w:tbl>
    <w:bookmarkEnd w:id="115"/>
    <w:bookmarkStart w:id="116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ด้านคุณภาพ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116"/>
    <w:bookmarkStart w:id="117" w:name="business-rules"/>
    <w:p>
      <w:pPr>
        <w:pStyle w:val="Heading2"/>
      </w:pPr>
      <w:r>
        <w:t xml:space="preserve">5.5 Business Rules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กฎทางธุรกิจ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2" w:name="other-requirements"/>
    <w:p>
      <w:pPr>
        <w:pStyle w:val="Heading1"/>
      </w:pPr>
      <w:r>
        <w:t xml:space="preserve">6. Other Requirements</w:t>
      </w:r>
    </w:p>
    <w:bookmarkStart w:id="119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19"/>
    <w:bookmarkStart w:id="120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20"/>
    <w:bookmarkStart w:id="121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23" w:name="appendix-a-glossary"/>
    <w:p>
      <w:pPr>
        <w:pStyle w:val="Heading1"/>
      </w:pPr>
      <w:r>
        <w:t xml:space="preserve">Appendix A: Glossary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คำศัพท์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35" w:name="appendix-b-analysis-models"/>
    <w:p>
      <w:pPr>
        <w:pStyle w:val="Heading1"/>
      </w:pPr>
      <w:r>
        <w:t xml:space="preserve">Appendix B: Analysis Models</w:t>
      </w:r>
    </w:p>
    <w:bookmarkStart w:id="127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6261100" cy="5587058"/>
            <wp:effectExtent b="0" l="0" r="0" t="0"/>
            <wp:docPr descr="แผนภาพสถานะของคำสั่งซื้อ" title="" id="125" name="Picture"/>
            <a:graphic>
              <a:graphicData uri="http://schemas.openxmlformats.org/drawingml/2006/picture">
                <pic:pic>
                  <pic:nvPicPr>
                    <pic:cNvPr descr="assets/diagrams/fig3-13_state_order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58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3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27"/>
    <w:bookmarkStart w:id="131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6261100" cy="4939678"/>
            <wp:effectExtent b="0" l="0" r="0" t="0"/>
            <wp:docPr descr="แผนภาพความสัมพันธ์ระหว่างข้อมูล" title="" id="129" name="Picture"/>
            <a:graphic>
              <a:graphicData uri="http://schemas.openxmlformats.org/drawingml/2006/picture">
                <pic:pic>
                  <pic:nvPicPr>
                    <pic:cNvPr descr="assets/diagrams/fig3-05_e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3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4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31"/>
    <w:bookmarkStart w:id="132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 Element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ครอบคลุมความต้องการ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32"/>
    <w:bookmarkStart w:id="133" w:name="b.4-state-semantics"/>
    <w:p>
      <w:pPr>
        <w:pStyle w:val="Heading2"/>
      </w:pPr>
      <w:r>
        <w:t xml:space="preserve">B.4 State Semantics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ระดับ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33"/>
    <w:bookmarkStart w:id="134" w:name="b.5-authority-matrix"/>
    <w:p>
      <w:pPr>
        <w:pStyle w:val="Heading2"/>
      </w:pPr>
      <w:r>
        <w:t xml:space="preserve">B.5 Authority Matrix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Allowed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แบบจำลองเหล่านี้ยังมีแผนภาพประกอบอื่นในเอกสารการออกแบบของโครงงาน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TBD / Open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ผู้รับผิดชอบ / หลักฐานที่จะปิดประเด็น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38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Given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137" w:name="negative-boundary-scenarios"/>
    <w:p>
      <w:pPr>
        <w:pStyle w:val="Heading2"/>
      </w:pPr>
      <w:r>
        <w:t xml:space="preserve">Negative / Boundary Scenarios</w:t>
      </w:r>
    </w:p>
    <w:p>
      <w:pPr>
        <w:pStyle w:val="Compact"/>
        <w:numPr>
          <w:ilvl w:val="0"/>
          <w:numId w:val="1027"/>
        </w:numPr>
      </w:pPr>
      <w:r>
        <w:t xml:space="preserve">พนักงานคลังสองคนกดยืนยันจ่ายคำสั่งซื้อเดียวกันในเสี้ยววินาทีเดียวกัน → สต็อกถูกหักครั้งเดียว และมีบันทึกการเคลื่อนไหวหนึ่งแถวต่อสินค้าหนึ่งรายการ</w:t>
      </w:r>
    </w:p>
    <w:p>
      <w:pPr>
        <w:pStyle w:val="Compact"/>
        <w:numPr>
          <w:ilvl w:val="0"/>
          <w:numId w:val="1027"/>
        </w:numPr>
      </w:pPr>
      <w:r>
        <w:t xml:space="preserve">คำสั่งซื้อมีสินค้าสองรายการ รายการแรกมีของพอ รายการที่สองไม่พอ → ยอดของรายการแรกที่หักไปแล้วในธุรกรรมต้องย้อนกลับด้วย ไม่มีการหักค้างบางส่วน</w:t>
      </w:r>
    </w:p>
    <w:p>
      <w:pPr>
        <w:pStyle w:val="Compact"/>
        <w:numPr>
          <w:ilvl w:val="0"/>
          <w:numId w:val="1027"/>
        </w:numPr>
      </w:pPr>
      <w:r>
        <w:t xml:space="preserve">ผู้ใช้ส่งราคาสินค้ามาพร้อมคำขอเพื่อกำหนดราคาเอง → ระบบใช้ราคาจากฐานข้อมูลเสมอ ค่าที่ส่งมาถูกละเลย</w:t>
      </w:r>
    </w:p>
    <w:p>
      <w:pPr>
        <w:pStyle w:val="Compact"/>
        <w:numPr>
          <w:ilvl w:val="0"/>
          <w:numId w:val="1027"/>
        </w:numPr>
      </w:pPr>
      <w:r>
        <w:t xml:space="preserve">ผู้จัดการปรับยอดคงเหลือเป็นค่าที่จะทำให้ติดลบ → ปฏิเสธและยอดเดิมไม่เปลี่ยน</w:t>
      </w:r>
    </w:p>
    <w:p>
      <w:pPr>
        <w:pStyle w:val="Compact"/>
        <w:numPr>
          <w:ilvl w:val="0"/>
          <w:numId w:val="1027"/>
        </w:numPr>
      </w:pPr>
      <w:r>
        <w:t xml:space="preserve">พยายามเปลี่ยนสถานะคำสั่งซื้อเป็นส่งมอบสำเร็จโดยไม่ผ่านธุรกรรมตัดสต็อก → ปฏิเสธด้วยรหัส 409</w:t>
      </w:r>
    </w:p>
    <w:p>
      <w:pPr>
        <w:pStyle w:val="Compact"/>
        <w:numPr>
          <w:ilvl w:val="0"/>
          <w:numId w:val="1027"/>
        </w:numPr>
      </w:pPr>
      <w:r>
        <w:t xml:space="preserve">ข้อความบนใบเสร็จมีอักขระนอกชุดรหัส TIS-620 → แทนด้วยช่องว่าง ไม่ส่งไบต์แปลกปลอมที่เครื่องพิมพ์อาจตีความเป็นคำสั่งควบคุม</w:t>
      </w:r>
    </w:p>
    <w:p>
      <w:pPr>
        <w:pStyle w:val="Compact"/>
        <w:numPr>
          <w:ilvl w:val="0"/>
          <w:numId w:val="1027"/>
        </w:numPr>
      </w:pPr>
      <w:r>
        <w:t xml:space="preserve">เปิดหน้าจอบนความกว้าง 390 พิกเซล → ตารางหลายคอลัมน์เปลี่ยนเป็นรายการแบบการ์ด ไม่เกิดการเลื่อนแนวนอนของทั้งหน้า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appendix-e-end-to-end-traceability"/>
    <w:p>
      <w:pPr>
        <w:pStyle w:val="Heading1"/>
      </w:pPr>
      <w:r>
        <w:t xml:space="preserve">Appendix E: End-to-End Traceability</w:t>
      </w:r>
    </w:p>
    <w:bookmarkStart w:id="139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ปัญหาที่พบหน้างาน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139"/>
    <w:bookmarkStart w:id="140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Requirements / Rules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40"/>
    <w:bookmarkStart w:id="141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AC-10; TC-10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AC-11; TC-09, TC-12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3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QA Check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แผนภาพประกอบครบตามช่องที่ต้นแบบกำหนด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1–4 คือแผนภาพบริบท กรณีการใช้งาน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รหัสความต้องการตรงกับเอกสารข้อกำหนดฉบับมาตรฐาน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43"/>
    <w:sectPr w:rsidR="000671E0" w:rsidRPr="00A8151C" w:rsidSect="00034616">
      <w:headerReference r:id="rId15" w:type="default"/>
      <w:footerReference r:id="rId16" w:type="default"/>
      <w:pgSz w:h="16838" w:w="11906"/>
      <w:pgMar w:bottom="964" w:footer="397" w:gutter="0" w:header="397" w:left="1020" w:right="1020" w:top="9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1CC49E" w14:textId="77777777" w:rsidR="000671E0" w:rsidRDefault="00000000">
    <w:pPr>
      <w:pStyle w:val="Footer"/>
      <w:jc w:val="center"/>
    </w:pPr>
    <w:r>
      <w:rPr>
        <w:color w:val="70859D"/>
        <w:sz w:val="21"/>
      </w:rPr>
      <w:t xml:space="preserve">SRS v1.0 · Implemented and Verified · </w:t>
    </w:r>
    <w:proofErr w:type="spellStart"/>
    <w:r>
      <w:rPr>
        <w:color w:val="70859D"/>
        <w:sz w:val="21"/>
      </w:rPr>
      <w:t>หน้า</w:t>
    </w:r>
    <w:proofErr w:type="spellEnd"/>
    <w:r>
      <w:rPr>
        <w:color w:val="70859D"/>
        <w:sz w:val="21"/>
      </w:rPr>
      <w:t xml:space="preserve"> </w:t>
    </w:r>
    <w:r>
      <w:fldChar w:fldCharType="begin"/>
    </w:r>
    <w:r>
      <w:instrText>PAGE</w:instrText>
    </w:r>
    <w:r w:rsidR="008B6A52">
      <w:fldChar w:fldCharType="separate"/>
    </w:r>
    <w:r w:rsidR="008B6A52">
      <w:rPr>
        <w:noProof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9DFAC7" w14:textId="77777777" w:rsidR="000671E0" w:rsidRDefault="000671E0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6236"/>
      <w:gridCol w:w="3628"/>
    </w:tblGrid>
    <w:tr w:rsidR="000671E0" w14:paraId="694485BE" w14:textId="77777777">
      <w:trPr>
        <w:jc w:val="center"/>
      </w:trPr>
      <w:tc>
        <w:tcPr>
          <w:tcW w:w="6236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65AA6973" w14:textId="77777777" w:rsidR="000671E0" w:rsidRDefault="00000000">
          <w:r>
            <w:rPr>
              <w:b/>
              <w:sz w:val="21"/>
            </w:rPr>
            <w:t>ENGSE206 Intensive Weekend Class | SOML Use Case SRS</w:t>
          </w:r>
        </w:p>
      </w:tc>
      <w:tc>
        <w:tcPr>
          <w:tcW w:w="3628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559C53B7" w14:textId="77777777" w:rsidR="000671E0" w:rsidRDefault="00000000">
          <w:pPr>
            <w:jc w:val="right"/>
          </w:pPr>
          <w:r>
            <w:rPr>
              <w:b/>
              <w:color w:val="176B87"/>
              <w:sz w:val="21"/>
            </w:rPr>
            <w:t>SE RMUTL · RMUTL</w:t>
          </w:r>
        </w:p>
      </w:tc>
    </w:tr>
  </w:tbl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4235053" w:numId="1">
    <w:abstractNumId w:val="8"/>
  </w:num>
  <w:num w16cid:durableId="893151863" w:numId="2">
    <w:abstractNumId w:val="6"/>
  </w:num>
  <w:num w16cid:durableId="434790015" w:numId="3">
    <w:abstractNumId w:val="5"/>
  </w:num>
  <w:num w16cid:durableId="1847397138" w:numId="4">
    <w:abstractNumId w:val="4"/>
  </w:num>
  <w:num w16cid:durableId="1834682702" w:numId="5">
    <w:abstractNumId w:val="7"/>
  </w:num>
  <w:num w16cid:durableId="709691547" w:numId="6">
    <w:abstractNumId w:val="3"/>
  </w:num>
  <w:num w16cid:durableId="230434187" w:numId="7">
    <w:abstractNumId w:val="2"/>
  </w:num>
  <w:num w16cid:durableId="1429352140" w:numId="8">
    <w:abstractNumId w:val="1"/>
  </w:num>
  <w:num w16cid:durableId="318264663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3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E0"/>
    <w:rsid w:val="0015074B"/>
    <w:rsid w:val="0029639D"/>
    <w:rsid w:val="00326F90"/>
    <w:rsid w:val="0084071B"/>
    <w:rsid w:val="008B6A52"/>
    <w:rsid w:val="009918AF"/>
    <w:rsid w:val="00A8151C"/>
    <w:rsid w:val="00AA1D8D"/>
    <w:rsid w:val="00B47730"/>
    <w:rsid w:val="00CB0664"/>
    <w:rsid w:val="00FA4321"/>
    <w:rsid w:val="00FC693F"/>
  </w:rsids>
  <w:themeFontLang w:bidi="th-TH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80" w:line="252" w:lineRule="auto"/>
    </w:pPr>
    <w:rPr>
      <w:rFonts w:ascii="TH Sarabun New" w:eastAsia="TH Sarabun New" w:hAnsi="TH Sarabun New"/>
      <w:color w:val="183B63"/>
      <w:sz w:val="3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160"/>
      <w:outlineLvl w:val="0"/>
    </w:pPr>
    <w:rPr>
      <w:rFonts w:asciiTheme="majorHAnsi" w:cstheme="majorBidi" w:eastAsiaTheme="majorEastAsia" w:hAnsiTheme="majorHAnsi"/>
      <w:b/>
      <w:bCs/>
      <w:sz w:val="4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160"/>
      <w:outlineLvl w:val="1"/>
    </w:pPr>
    <w:rPr>
      <w:rFonts w:asciiTheme="majorHAnsi" w:cstheme="majorBidi" w:eastAsiaTheme="majorEastAsia" w:hAnsiTheme="majorHAnsi"/>
      <w:b/>
      <w:bCs/>
      <w:color w:val="176B87"/>
      <w:sz w:val="3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160"/>
      <w:outlineLvl w:val="2"/>
    </w:pPr>
    <w:rPr>
      <w:rFonts w:asciiTheme="majorHAnsi" w:cstheme="majorBidi" w:eastAsiaTheme="majorEastAsia" w:hAnsiTheme="majorHAnsi"/>
      <w:b/>
      <w:bCs/>
      <w:color w:val="E28A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160"/>
      <w:outlineLvl w:val="3"/>
    </w:pPr>
    <w:rPr>
      <w:rFonts w:asciiTheme="majorHAnsi" w:cstheme="majorBidi" w:eastAsiaTheme="majorEastAsia" w:hAnsiTheme="majorHAnsi"/>
      <w:b/>
      <w:bCs/>
      <w:i/>
      <w:iCs/>
      <w:color w:val="2E6AA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160" w:line="240" w:lineRule="auto"/>
      <w:contextualSpacing/>
    </w:pPr>
    <w:rPr>
      <w:rFonts w:asciiTheme="majorHAnsi" w:cstheme="majorBidi" w:eastAsiaTheme="majorEastAsia" w:hAnsiTheme="majorHAnsi"/>
      <w:b/>
      <w:spacing w:val="5"/>
      <w:kern w:val="28"/>
      <w:sz w:val="7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before="160"/>
    </w:pPr>
    <w:rPr>
      <w:rFonts w:asciiTheme="majorHAnsi" w:cstheme="majorBidi" w:eastAsiaTheme="majorEastAsia" w:hAnsiTheme="majorHAnsi"/>
      <w:b/>
      <w:i/>
      <w:iCs/>
      <w:color w:val="176B87"/>
      <w:spacing w:val="15"/>
      <w:sz w:val="4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able" w:type="table">
    <w:name w:val="Table"/>
    <w:basedOn w:val="TableNormal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bCs/>
        <w:color w:val="FFFFFF"/>
      </w:rPr>
      <w:tcPr>
        <w:shd w:color="auto" w:fill="183B6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6" Target="footer1.xml" Type="http://schemas.openxmlformats.org/officeDocument/2006/relationships/footer" /><Relationship Id="rId15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jpg" /><Relationship Type="http://schemas.openxmlformats.org/officeDocument/2006/relationships/image" Id="rId59" Target="media/rId59.png" /><Relationship Type="http://schemas.openxmlformats.org/officeDocument/2006/relationships/image" Id="rId42" Target="media/rId42.png" /><Relationship Type="http://schemas.openxmlformats.org/officeDocument/2006/relationships/image" Id="rId128" Target="media/rId128.png" /><Relationship Type="http://schemas.openxmlformats.org/officeDocument/2006/relationships/image" Id="rId124" Target="media/rId1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4982</Words>
  <Characters>28404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2026-09-08T16:44:25Z</dcterms:created>
  <dcterms:modified xsi:type="dcterms:W3CDTF">2026-09-08T16:44:25Z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