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jpg" ContentType="image/jpeg"/>
  <Override PartName="/word/media/rId42.png" ContentType="image/png"/>
  <Override PartName="/word/media/rId137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133.png" ContentType="image/png"/>
  <Override PartName="/word/media/image7.png" ContentType="image/png"/>
  <Override PartName="/word/media/image6.png" ContentType="image/png"/>
  <Override PartName="/word/media/image4.png" ContentType="image/png"/>
  <Override PartName="/word/media/image5.png" ContentType="image/png"/>
  <Override PartName="/word/media/image1.jp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1143000" cy="1143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ssets/branding/logo_se_rmut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998483" cy="114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ssets/branding/logo_rmut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483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software-requirements-specification"/>
    <w:p>
      <w:pPr>
        <w:pStyle w:val="Title"/>
        <w:jc w:val="center"/>
        <w:rPr>
          <w:rFonts w:ascii="TH Sarabun New" w:hAnsi="TH Sarabun New" w:cs="TH Sarabun New" w:hint="cs"/>
          <w:sz w:val="56"/>
          <w:szCs w:val="48"/>
        </w:rPr>
      </w:pPr>
      <w:r>
        <w:rPr>
          <w:rFonts w:ascii="TH Sarabun New" w:hAnsi="TH Sarabun New" w:cs="TH Sarabun New" w:hint="cs"/>
          <w:sz w:val="56"/>
          <w:szCs w:val="48"/>
        </w:rPr>
        <w:t xml:space="preserve">Software Requirements Specification</w:t>
      </w:r>
    </w:p>
    <w:bookmarkStart w:id="32" w:name="X4c5fe387d112fd9031dae3568a5b1c6079e5856"/>
    <w:p>
      <w:pPr>
        <w:pStyle w:val="Subtitle"/>
        <w:jc w:val="center"/>
        <w:rPr>
          <w:rFonts w:ascii="TH Sarabun New" w:hAnsi="TH Sarabun New" w:cs="TH Sarabun New" w:hint="cs"/>
        </w:rPr>
      </w:pPr>
      <w:r>
        <w:rPr>
          <w:rFonts w:ascii="TH Sarabun New" w:hAnsi="TH Sarabun New" w:cs="TH Sarabun New" w:hint="cs"/>
        </w:rPr>
        <w:t xml:space="preserve">SOML — ระบบจัดการคำสั่งซื้อและตรวจสอบคลังสินค้า (Use Case SRS)</w:t>
      </w:r>
    </w:p>
    <w:bookmarkStart w:id="31" w:name="X2d3e8f5a3626254e541f0b6f0a8ce558f8c3e6b"/>
    <w:p>
      <w:pPr>
        <w:jc w:val="center"/>
        <w:rPr>
          <w:rFonts w:cs="TH Sarabun New" w:hint="cs"/>
          <w:sz w:val="32"/>
        </w:rPr>
      </w:pPr>
      <w:r>
        <w:rPr>
          <w:rFonts w:cs="TH Sarabun New" w:hint="cs"/>
          <w:sz w:val="32"/>
        </w:rPr>
        <w:t xml:space="preserve">เอกสารข้อกำหนดความต้องการซอฟต์แวร์ตามโครงสร้าง IEEE SRS Template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(จัดวางจากบทที่ 1–4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เอกสารฉบับนี้ต่างจาก SRS อีกฉบับอย่างไร</w:t>
      </w:r>
      <w:r>
        <w:t xml:space="preserve"> </w:t>
      </w:r>
      <w:r>
        <w:t xml:space="preserve">โครงงานนี้มีเอกสารข้อกำหนดความต้องการสองฉบับที่ใช้คู่กัน ไม่ใช่ฉบับซ้ำซ้อน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ฉบับ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ไฟล์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จัดตามมาตรฐาน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จุดเน้น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 SRS</w:t>
            </w:r>
            <w:r>
              <w:t xml:space="preserve"> </w:t>
            </w:r>
            <w:r>
              <w:t xml:space="preserve">(ฉบับนี้)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UseCase_SRS_SOML_ENGSE206_v1.0_TH.md</w:t>
            </w:r>
          </w:p>
        </w:tc>
        <w:tc>
          <w:tcPr/>
          <w:p>
            <w:pPr>
              <w:pStyle w:val="Compact"/>
            </w:pPr>
            <w:r>
              <w:t xml:space="preserve">แบบฟอร์ม IEEE SRS ของรายวิชา ENGSE206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จัดเนื้อหาตามกรณีการใช้งาน เน้นลำดับขั้นการทำงาน ทางเลือก ข้อยกเว้น เกณฑ์การยอมรับ และการสอบกลับตั้งแต่หลักฐานถึงกรณีทดสอบ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 ตามมาตรฐาน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</w:p>
        </w:tc>
        <w:tc>
          <w:tcPr/>
          <w:p>
            <w:pPr>
              <w:pStyle w:val="Compact"/>
            </w:pPr>
            <w:r>
              <w:t xml:space="preserve">ISO/IEC/IEEE 29148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จัดเนื้อหาตามหมวดของมาตรฐาน เน้นความครบถ้วนของประเภทความต้องการและการทวนสอบรายข้อ</w:t>
            </w:r>
          </w:p>
        </w:tc>
      </w:tr>
    </w:tbl>
    <w:p>
      <w:pPr>
        <w:pStyle w:val="BlockText"/>
      </w:pPr>
      <w:r>
        <w:t xml:space="preserve">ทั้งสองฉบับใช้รหัสความต้องการชุดเดียวกัน คือ FR, NFR, BR, UC และ TC จึงอ่านสลับกันได้โดยไม่ต้องแปลงรหัส</w:t>
      </w:r>
    </w:p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ส่วน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Reason for Changes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บทที่ 1–2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บทที่ 3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introduction"/>
    <w:p>
      <w:pPr>
        <w:pStyle w:val="Heading1"/>
      </w:pPr>
      <w:r>
        <w:t xml:space="preserve">1. Introduction</w:t>
      </w:r>
    </w:p>
    <w:bookmarkStart w:id="36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36"/>
    <w:bookmarkStart w:id="37" w:name="document-conventions"/>
    <w:p>
      <w:pPr>
        <w:pStyle w:val="Heading2"/>
      </w:pPr>
      <w:r>
        <w:t xml:space="preserve">1.2 Document Conventions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Convention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ตามแผนการทดสอบในบทที่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ในเอกสารนี้ใช้หมายเลขเดียวกับที่ปรากฏในบทที่ 3 ของปริญญานิพนธ์ทุกประการ เพื่อให้อ้างอิงข้ามเอกสารได้โดยไม่ต้องแปลงรหัส ส่วนรหัส EV, US, AC, M, CON และ TBD เพิ่มขึ้นใหม่ในเอกสารฉบับนี้ตามโครงสร้างของแบบฟอร์ม</w:t>
      </w:r>
    </w:p>
    <w:bookmarkEnd w:id="37"/>
    <w:bookmarkStart w:id="38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ผู้อ่าน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อ่านส่วนที่แนะนำ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38"/>
    <w:bookmarkStart w:id="39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In Scope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39"/>
    <w:bookmarkStart w:id="40" w:name="references"/>
    <w:p>
      <w:pPr>
        <w:pStyle w:val="Heading2"/>
      </w:pPr>
      <w:r>
        <w:t xml:space="preserve">1.5 References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Ref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เอกสาร/แหล่งอ้างอิง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ENGSE206_CaseX_SRS_v1.0_TH.docx</w:t>
            </w:r>
          </w:p>
        </w:tc>
        <w:tc>
          <w:tcPr/>
          <w:p>
            <w:pPr>
              <w:pStyle w:val="Compact"/>
            </w:pPr>
            <w:r>
              <w:t xml:space="preserve">โครงสร้างหัวข้อหลักของเอกสารฉบับนี้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3</w:t>
            </w:r>
          </w:p>
        </w:tc>
        <w:tc>
          <w:tcPr/>
          <w:p>
            <w:pPr>
              <w:pStyle w:val="Compact"/>
            </w:pPr>
            <w:r>
              <w:t xml:space="preserve">FR/NFR, UC-01..11, ERD, C4 Model และแผนการทดสอบ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REF-05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4</w:t>
            </w:r>
          </w:p>
        </w:tc>
        <w:tc>
          <w:tcPr/>
          <w:p>
            <w:pPr>
              <w:pStyle w:val="Compact"/>
            </w:pPr>
            <w:r>
              <w:t xml:space="preserve">ผลการทดสอบจริงที่อ้างอิงในเอกสารนี้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  <w:r>
              <w:t xml:space="preserve"> </w:t>
            </w:r>
            <w:r>
              <w:t xml:space="preserve">— SRS ตามมาตรฐาน ISO/IEC/IEEE 29148</w:t>
            </w:r>
          </w:p>
        </w:tc>
        <w:tc>
          <w:tcPr/>
          <w:p>
            <w:pPr>
              <w:pStyle w:val="Compact"/>
            </w:pPr>
            <w:r>
              <w:t xml:space="preserve">ฉบับคู่กันของโครงงาน ใช้รหัสความต้องการชุดเดียวกัน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REF-07</w:t>
            </w:r>
          </w:p>
        </w:tc>
        <w:tc>
          <w:tcPr/>
          <w:p>
            <w:pPr>
              <w:pStyle w:val="Compact"/>
            </w:pPr>
            <w:r>
              <w:t xml:space="preserve">app/evidence/</w:t>
            </w:r>
          </w:p>
        </w:tc>
        <w:tc>
          <w:tcPr/>
          <w:p>
            <w:pPr>
              <w:pStyle w:val="Compact"/>
            </w:pPr>
            <w:r>
              <w:t xml:space="preserve">ไฟล์หลักฐานผลการทดสอบที่อ้างอิงทุกตัวเลข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3" w:name="overall-description"/>
    <w:p>
      <w:pPr>
        <w:pStyle w:val="Heading1"/>
      </w:pPr>
      <w:r>
        <w:t xml:space="preserve">2. Overall Description</w:t>
      </w:r>
    </w:p>
    <w:bookmarkStart w:id="45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6261100" cy="4536578"/>
            <wp:effectExtent b="0" l="0" r="0" t="0"/>
            <wp:docPr descr="แผนภาพบริบทของระบบ" title="" id="43" name="Picture"/>
            <a:graphic>
              <a:graphicData uri="http://schemas.openxmlformats.org/drawingml/2006/picture">
                <pic:pic>
                  <pic:nvPicPr>
                    <pic:cNvPr descr="assets/diagrams/fig3-02_c1_contex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3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bookmarkEnd w:id="45"/>
    <w:bookmarkStart w:id="47" w:name="product-functions"/>
    <w:p>
      <w:pPr>
        <w:pStyle w:val="Heading2"/>
      </w:pPr>
      <w:r>
        <w:t xml:space="preserve">2.2 Product Functions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Capability Group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46" w:name="user-story-summary"/>
    <w:p>
      <w:pPr>
        <w:pStyle w:val="Heading3"/>
      </w:pPr>
      <w:r>
        <w:t xml:space="preserve">User Story Summary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46"/>
    <w:bookmarkEnd w:id="47"/>
    <w:bookmarkStart w:id="48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Class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ลักษณะ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48"/>
    <w:bookmarkStart w:id="49" w:name="operating-environment"/>
    <w:p>
      <w:pPr>
        <w:pStyle w:val="Heading2"/>
      </w:pPr>
      <w:r>
        <w:t xml:space="preserve">2.4 Operating Environment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ฝั่งผู้ใช้</w:t>
            </w:r>
          </w:p>
        </w:tc>
        <w:tc>
          <w:tcPr/>
          <w:p>
            <w:pPr>
              <w:pStyle w:val="Compact"/>
            </w:pPr>
            <w:r>
              <w:t xml:space="preserve">เว็บเบราว์เซอร์รุ่นล่าสุด Chrome, Edge หรือ Firefox บนคอมพิวเตอร์ แท็บเล็ต หรือสมาร์ตโฟน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ฝั่งเซิร์ฟเวอร์</w:t>
            </w:r>
          </w:p>
        </w:tc>
        <w:tc>
          <w:tcPr/>
          <w:p>
            <w:pPr>
              <w:pStyle w:val="Compact"/>
            </w:pPr>
            <w:r>
              <w:t xml:space="preserve">Node.js 20 LTS ขึ้นไป · Express.js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MySQL 8.0 กลไกจัดเก็บ InnoDB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อุปกรณ์ต่อพ่วง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เครื่องพิมพ์ใบเสร็จความร้อนที่รองรับ ESC/POS ต่อผ่าน USB หรือเครือข่าย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เครือข่ายภายในร้านที่ครอบคลุมทั้งจุดชำระเงินและคลังสินค้า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ช่องทางเข้าถึง</w:t>
            </w:r>
          </w:p>
        </w:tc>
        <w:tc>
          <w:tcPr/>
          <w:p>
            <w:pPr>
              <w:pStyle w:val="Compact"/>
            </w:pPr>
            <w:r>
              <w:t xml:space="preserve">HTTPS เท่านั้น</w:t>
            </w:r>
          </w:p>
        </w:tc>
      </w:tr>
    </w:tbl>
    <w:bookmarkEnd w:id="49"/>
    <w:bookmarkStart w:id="50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ข้อจำกัด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50"/>
    <w:bookmarkStart w:id="51" w:name="user-documentation"/>
    <w:p>
      <w:pPr>
        <w:pStyle w:val="Heading2"/>
      </w:pPr>
      <w:r>
        <w:t xml:space="preserve">2.6 User Documentation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คู่มือติดตั้งและใช้งาน (app/README.md)</w:t>
            </w:r>
          </w:p>
        </w:tc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ขั้นตอนติดตั้งเจ็ดข้อ การตั้งค่าเครื่องพิมพ์ การสาธิต และการทดสอบ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ข้อความแนะนำในหน้าจอ</w:t>
            </w:r>
          </w:p>
        </w:tc>
        <w:tc>
          <w:tcPr/>
          <w:p>
            <w:pPr>
              <w:pStyle w:val="Compact"/>
            </w:pPr>
            <w:r>
              <w:t xml:space="preserve">ผู้ใช้ทุกบทบาท</w:t>
            </w:r>
          </w:p>
        </w:tc>
        <w:tc>
          <w:tcPr/>
          <w:p>
            <w:pPr>
              <w:pStyle w:val="Compact"/>
            </w:pPr>
            <w:r>
              <w:t xml:space="preserve">ข้อความกำกับปุ่มที่มีผลถาวร คำเตือนก่อนยืนยันจ่าย และผลลัพธ์ของทุกการกระทำ</w:t>
            </w:r>
          </w:p>
        </w:tc>
      </w:tr>
    </w:tbl>
    <w:p>
      <w:pPr>
        <w:pStyle w:val="BodyText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51"/>
    <w:bookmarkStart w:id="52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ข้อสมมติ / การพึ่งพา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external-interface-requirements"/>
    <w:p>
      <w:pPr>
        <w:pStyle w:val="Heading1"/>
      </w:pPr>
      <w:r>
        <w:t xml:space="preserve">3. External Interface Requirements</w:t>
      </w:r>
    </w:p>
    <w:bookmarkStart w:id="54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ข้อกำหนดของส่วนต่อประสานผู้ใช้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p>
      <w:pPr>
        <w:pStyle w:val="BodyText"/>
      </w:pPr>
      <w:r>
        <w:t xml:space="preserve">หน้าจอที่พัฒนาแล้วมีเก้าหน้า ได้แก่ หน้าเข้าสู่ระบบ หน้าขายหน้าร้าน หน้ารับชำระด้วย QR พร้อมเพย์ หน้าคิวรอจ่ายสินค้า หน้ายืนยันจ่ายสินค้า แดชบอร์ดปฏิบัติการ แดชบอร์ดระดับบริหาร หน้าจัดการข้อมูลสินค้า หน้าการแจ้งเตือน และหน้าประวัติการทำรายการ</w:t>
      </w:r>
    </w:p>
    <w:bookmarkEnd w:id="54"/>
    <w:bookmarkStart w:id="55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55"/>
    <w:bookmarkStart w:id="56" w:name="software-interfaces"/>
    <w:p>
      <w:pPr>
        <w:pStyle w:val="Heading2"/>
      </w:pPr>
      <w:r>
        <w:t xml:space="preserve">3.3 Software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ระบบ/บริการ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บทบาท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รูปแบบการเชื่อมต่อ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56"/>
    <w:bookmarkStart w:id="57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โพรโทคอล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ใช้ระหว่าง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วัตถุประสงค์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121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โดยคงรหัสความต้องการเดิมจากบทที่ 3</w:t>
      </w:r>
    </w:p>
    <w:p>
      <w:pPr>
        <w:pStyle w:val="CaptionedFigure"/>
      </w:pPr>
      <w:r>
        <w:drawing>
          <wp:inline>
            <wp:extent cx="6261100" cy="5991483"/>
            <wp:effectExtent b="0" l="0" r="0" t="0"/>
            <wp:docPr descr="แผนภาพกรณีการใช้งานกลุ่มเข้าสู่ระบบ" title="" id="60" name="Picture"/>
            <a:graphic>
              <a:graphicData uri="http://schemas.openxmlformats.org/drawingml/2006/picture">
                <pic:pic>
                  <pic:nvPicPr>
                    <pic:cNvPr descr="assets/diagrams/fig3-06_uc_aut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991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แผนภาพกรณีการใช้งานกลุ่มเข้าสู่ระบบ</w:t>
      </w:r>
    </w:p>
    <w:p>
      <w:pPr>
        <w:pStyle w:val="BodyText"/>
      </w:pPr>
      <w:r>
        <w:rPr>
          <w:i/>
          <w:iCs/>
        </w:rPr>
        <w:t xml:space="preserve">ภาพที่ 2 — Use Case Diagram กลุ่มการเข้าสู่ระบบและการควบคุมสิทธิ์ (UC-01, UC-02)</w:t>
      </w:r>
    </w:p>
    <w:p>
      <w:pPr>
        <w:pStyle w:val="CaptionedFigure"/>
      </w:pPr>
      <w:r>
        <w:drawing>
          <wp:inline>
            <wp:extent cx="6261100" cy="3814119"/>
            <wp:effectExtent b="0" l="0" r="0" t="0"/>
            <wp:docPr descr="แผนภาพกรณีการใช้งานกลุ่มพนักงานขาย" title="" id="63" name="Picture"/>
            <a:graphic>
              <a:graphicData uri="http://schemas.openxmlformats.org/drawingml/2006/picture">
                <pic:pic>
                  <pic:nvPicPr>
                    <pic:cNvPr descr="assets/diagrams/fig3-07_uc_sal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814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แผนภาพกรณีการใช้งานกลุ่มพนักงานขาย</w:t>
      </w:r>
    </w:p>
    <w:p>
      <w:pPr>
        <w:pStyle w:val="BodyText"/>
      </w:pPr>
      <w:r>
        <w:rPr>
          <w:i/>
          <w:iCs/>
        </w:rPr>
        <w:t xml:space="preserve">ภาพที่ 3 — Use Case Diagram กลุ่มการขายหน้าร้าน (UC-03, UC-04)</w:t>
      </w:r>
    </w:p>
    <w:p>
      <w:pPr>
        <w:pStyle w:val="CaptionedFigure"/>
      </w:pPr>
      <w:r>
        <w:drawing>
          <wp:inline>
            <wp:extent cx="6261100" cy="3721219"/>
            <wp:effectExtent b="0" l="0" r="0" t="0"/>
            <wp:docPr descr="แผนภาพกรณีการใช้งานกลุ่มคลังสินค้า" title="" id="66" name="Picture"/>
            <a:graphic>
              <a:graphicData uri="http://schemas.openxmlformats.org/drawingml/2006/picture">
                <pic:pic>
                  <pic:nvPicPr>
                    <pic:cNvPr descr="assets/diagrams/fig3-08_uc_warehous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21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แผนภาพกรณีการใช้งานกลุ่มคลังสินค้า</w:t>
      </w:r>
    </w:p>
    <w:p>
      <w:pPr>
        <w:pStyle w:val="BodyText"/>
      </w:pPr>
      <w:r>
        <w:rPr>
          <w:i/>
          <w:iCs/>
        </w:rPr>
        <w:t xml:space="preserve">ภาพที่ 4 — Use Case Diagram กลุ่มคลังสินค้า (UC-05, UC-06, UC-07)</w:t>
      </w:r>
    </w:p>
    <w:p>
      <w:pPr>
        <w:pStyle w:val="CaptionedFigure"/>
      </w:pPr>
      <w:r>
        <w:drawing>
          <wp:inline>
            <wp:extent cx="6261100" cy="10403303"/>
            <wp:effectExtent b="0" l="0" r="0" t="0"/>
            <wp:docPr descr="แผนภาพกรณีการใช้งานกลุ่มผู้จัดการ" title="" id="69" name="Picture"/>
            <a:graphic>
              <a:graphicData uri="http://schemas.openxmlformats.org/drawingml/2006/picture">
                <pic:pic>
                  <pic:nvPicPr>
                    <pic:cNvPr descr="assets/diagrams/fig3-09_uc_manager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0403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แผนภาพกรณีการใช้งานกลุ่มผู้จัดการ</w:t>
      </w:r>
    </w:p>
    <w:p>
      <w:pPr>
        <w:pStyle w:val="BodyText"/>
      </w:pPr>
      <w:r>
        <w:rPr>
          <w:i/>
          <w:iCs/>
        </w:rPr>
        <w:t xml:space="preserve">ภาพที่ 5 — Use Case Diagram กลุ่มผู้จัดการ (UC-08, UC-09, UC-10, UC-11)</w:t>
      </w:r>
    </w:p>
    <w:bookmarkStart w:id="76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71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1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1"/>
        </w:numPr>
      </w:pPr>
      <w:r>
        <w:t xml:space="preserve">เข้าถึงระบบผ่าน HTTPS ตาม CON-08</w:t>
      </w:r>
    </w:p>
    <w:bookmarkEnd w:id="71"/>
    <w:bookmarkStart w:id="72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2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2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72"/>
    <w:bookmarkStart w:id="73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3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3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3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3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3"/>
        </w:numPr>
      </w:pPr>
      <w:r>
        <w:t xml:space="preserve">ระบบแสดงเมนูตามบทบาทที่ตรวจสอบได้</w:t>
      </w:r>
    </w:p>
    <w:bookmarkEnd w:id="73"/>
    <w:bookmarkStart w:id="74" w:name="alternate-flows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74"/>
    <w:bookmarkStart w:id="75" w:name="exception-flows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75"/>
    <w:bookmarkEnd w:id="76"/>
    <w:bookmarkStart w:id="82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77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4"/>
        </w:numPr>
      </w:pPr>
      <w:r>
        <w:t xml:space="preserve">ผู้จัดการเข้าสู่ระบบสำเร็จตาม UC-01</w:t>
      </w:r>
    </w:p>
    <w:bookmarkEnd w:id="77"/>
    <w:bookmarkStart w:id="78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5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5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5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78"/>
    <w:bookmarkStart w:id="79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6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6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79"/>
    <w:bookmarkStart w:id="80" w:name="alternate-flows-1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80"/>
    <w:bookmarkStart w:id="81" w:name="exception-flows-1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81"/>
    <w:bookmarkEnd w:id="82"/>
    <w:bookmarkStart w:id="88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83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7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7"/>
        </w:numPr>
      </w:pPr>
      <w:r>
        <w:t xml:space="preserve">ระบบตั้งค่าหมายเลขพร้อมเพย์ของร้านไว้แล้ว</w:t>
      </w:r>
    </w:p>
    <w:bookmarkEnd w:id="83"/>
    <w:bookmarkStart w:id="84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8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08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08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08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84"/>
    <w:bookmarkStart w:id="85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9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09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09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09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09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09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09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85"/>
    <w:bookmarkStart w:id="86" w:name="alternate-flows-2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86"/>
    <w:bookmarkStart w:id="87" w:name="exception-flows-2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87"/>
    <w:bookmarkEnd w:id="88"/>
    <w:bookmarkStart w:id="94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89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0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89"/>
    <w:bookmarkStart w:id="90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1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1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90"/>
    <w:bookmarkStart w:id="91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2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2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2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2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91"/>
    <w:bookmarkStart w:id="92" w:name="alternate-flows-3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92"/>
    <w:bookmarkStart w:id="93" w:name="exception-flows-3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93"/>
    <w:bookmarkEnd w:id="94"/>
    <w:bookmarkStart w:id="100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95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3"/>
        </w:numPr>
      </w:pPr>
      <w:r>
        <w:t xml:space="preserve">พนักงานทำเครื่องหมายตรวจนับครบทุกรายการแล้ว</w:t>
      </w:r>
    </w:p>
    <w:bookmarkEnd w:id="95"/>
    <w:bookmarkStart w:id="96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4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4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4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4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4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96"/>
    <w:bookmarkStart w:id="97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5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5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5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5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5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5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97"/>
    <w:bookmarkStart w:id="98" w:name="alternate-flows-4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98"/>
    <w:bookmarkStart w:id="99" w:name="exception-flows-4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99"/>
    <w:bookmarkEnd w:id="100"/>
    <w:bookmarkStart w:id="101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Stimulus / Condition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System Response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101"/>
    <w:bookmarkStart w:id="107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102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6"/>
        </w:numPr>
      </w:pPr>
      <w:r>
        <w:t xml:space="preserve">ผู้ใช้เข้าสู่ระบบด้วยบทบาทที่มีสิทธิ์</w:t>
      </w:r>
    </w:p>
    <w:bookmarkEnd w:id="102"/>
    <w:bookmarkStart w:id="103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7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103"/>
    <w:bookmarkStart w:id="104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8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18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18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18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104"/>
    <w:bookmarkStart w:id="105" w:name="alternate-flows-5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105"/>
    <w:bookmarkStart w:id="106" w:name="exception-flows-5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106"/>
    <w:bookmarkEnd w:id="107"/>
    <w:bookmarkStart w:id="113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108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9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108"/>
    <w:bookmarkStart w:id="109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0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0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109"/>
    <w:bookmarkStart w:id="110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1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1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1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1"/>
        </w:numPr>
      </w:pPr>
      <w:r>
        <w:t xml:space="preserve">ผู้จัดการทำเครื่องหมายว่าอ่านแล้วเมื่อรับทราบ</w:t>
      </w:r>
    </w:p>
    <w:bookmarkEnd w:id="110"/>
    <w:bookmarkStart w:id="111" w:name="alternate-flows-6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111"/>
    <w:bookmarkStart w:id="112" w:name="exception-flows-6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112"/>
    <w:bookmarkEnd w:id="113"/>
    <w:bookmarkStart w:id="119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114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2"/>
        </w:numPr>
      </w:pPr>
      <w:r>
        <w:t xml:space="preserve">ผู้จัดการเข้าสู่ระบบสำเร็จ</w:t>
      </w:r>
    </w:p>
    <w:bookmarkEnd w:id="114"/>
    <w:bookmarkStart w:id="115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3"/>
        </w:numPr>
      </w:pPr>
      <w:r>
        <w:t xml:space="preserve">ผลลัพธ์ตรงตามเงื่อนไขที่กรองทุกแถว</w:t>
      </w:r>
    </w:p>
    <w:bookmarkEnd w:id="115"/>
    <w:bookmarkStart w:id="116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4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116"/>
    <w:bookmarkStart w:id="117" w:name="alternate-flows-7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117"/>
    <w:bookmarkStart w:id="118" w:name="exception-flows-7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118"/>
    <w:bookmarkEnd w:id="119"/>
    <w:bookmarkStart w:id="120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other-nonfunctional-requirements"/>
    <w:p>
      <w:pPr>
        <w:pStyle w:val="Heading1"/>
      </w:pPr>
      <w:r>
        <w:t xml:space="preserve">5. Other Nonfunctional Requirements</w:t>
      </w:r>
    </w:p>
    <w:bookmarkStart w:id="122" w:name="performance-requirements"/>
    <w:p>
      <w:pPr>
        <w:pStyle w:val="Heading2"/>
      </w:pPr>
      <w:r>
        <w:t xml:space="preserve">5.1 Performance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เกณฑ์ที่กำหนด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122"/>
    <w:bookmarkStart w:id="123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23"/>
    <w:bookmarkStart w:id="124" w:name="security-requirements"/>
    <w:p>
      <w:pPr>
        <w:pStyle w:val="Heading2"/>
      </w:pPr>
      <w:r>
        <w:t xml:space="preserve">5.3 Security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</w:t>
            </w:r>
          </w:p>
        </w:tc>
        <w:tc>
          <w:tcPr/>
          <w:p>
            <w:pPr>
              <w:pStyle w:val="Compact"/>
            </w:pPr>
            <w:r>
              <w:t xml:space="preserve">ผ่านการตรวจ 7 จาก 7 รายการ</w:t>
            </w:r>
          </w:p>
        </w:tc>
      </w:tr>
    </w:tbl>
    <w:p>
      <w:pPr>
        <w:pStyle w:val="BodyText"/>
      </w:pPr>
      <w:r>
        <w:t xml:space="preserve">รายละเอียดมาตรการที่ทวนสอบแล้ว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เข้าถึงผ่าน HTTPS เท่านั้น การเรียกผ่าน http 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ทุกคำขอต้องแนบโทเคน คำขอที่ไม่มีโทเคนถูกปฏิเสธ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โทเคนที่ปลอมแปลงถูกปฏิเสธ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บทบาทที่ไม่มีสิทธิ์ถูกปฏิเสธ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รหัสผ่านเก็บเป็นค่าที่ผ่านการเข้ารหัสแบบ bcrypt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ไม่บอกว่าผิดที่ชื่อผู้ใช้หรือรหัสผ่าน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รวมถึงตรวจรหัส QR ในภาพหน้าจอทุกภาพ</w:t>
            </w:r>
          </w:p>
        </w:tc>
      </w:tr>
    </w:tbl>
    <w:bookmarkEnd w:id="124"/>
    <w:bookmarkStart w:id="125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ด้านคุณภาพ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125"/>
    <w:bookmarkStart w:id="126" w:name="business-rules"/>
    <w:p>
      <w:pPr>
        <w:pStyle w:val="Heading2"/>
      </w:pPr>
      <w:r>
        <w:t xml:space="preserve">5.5 Business Rules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กฎทางธุรกิจ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กฎเพิ่มเติมที่บังคับใช้ในระบบ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การเปลี่ยนสถานะคำสั่งซื้อ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เปลี่ยนได้เฉพาะเส้นทางที่แผนภาพสถานะอนุญาต และเปลี่ยนเป็นส่งมอบสำเร็จได้เฉพาะผ่านธุรกรรมตัดสต็อก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เป็นสิทธิ์ของผู้จัดการเท่านั้น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การกำหนดราคา</w:t>
            </w:r>
          </w:p>
        </w:tc>
        <w:tc>
          <w:tcPr/>
          <w:p>
            <w:pPr>
              <w:pStyle w:val="Compact"/>
            </w:pPr>
            <w:r>
              <w:t xml:space="preserve">ราคาที่ใช้คำนวณต้องอ่านจากฐานข้อมูลเสมอ ไม่รับค่าที่ส่งมาจากหน้าจอ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เลขที่คำสั่งซื้อ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ต้องไม่ซ้ำ โดยฐานข้อมูลเป็นผู้รับประกันขั้นสุดท้าย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31" w:name="other-requirements"/>
    <w:p>
      <w:pPr>
        <w:pStyle w:val="Heading1"/>
      </w:pPr>
      <w:r>
        <w:t xml:space="preserve">6. Other Requirements</w:t>
      </w:r>
    </w:p>
    <w:bookmarkStart w:id="128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28"/>
    <w:bookmarkStart w:id="129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29"/>
    <w:bookmarkStart w:id="130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2" w:name="appendix-a-glossary"/>
    <w:p>
      <w:pPr>
        <w:pStyle w:val="Heading1"/>
      </w:pPr>
      <w:r>
        <w:t xml:space="preserve">Appendix A: Glossary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คำศัพท์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Start w:id="144" w:name="appendix-b-analysis-models"/>
    <w:p>
      <w:pPr>
        <w:pStyle w:val="Heading1"/>
      </w:pPr>
      <w:r>
        <w:t xml:space="preserve">Appendix B: Analysis Models</w:t>
      </w:r>
    </w:p>
    <w:bookmarkStart w:id="136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6261100" cy="5587058"/>
            <wp:effectExtent b="0" l="0" r="0" t="0"/>
            <wp:docPr descr="แผนภาพสถานะของคำสั่งซื้อ" title="" id="134" name="Picture"/>
            <a:graphic>
              <a:graphicData uri="http://schemas.openxmlformats.org/drawingml/2006/picture">
                <pic:pic>
                  <pic:nvPicPr>
                    <pic:cNvPr descr="assets/diagrams/fig3-13_state_ord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58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6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36"/>
    <w:bookmarkStart w:id="140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6261100" cy="4939678"/>
            <wp:effectExtent b="0" l="0" r="0" t="0"/>
            <wp:docPr descr="แผนภาพความสัมพันธ์ระหว่างข้อมูล" title="" id="138" name="Picture"/>
            <a:graphic>
              <a:graphicData uri="http://schemas.openxmlformats.org/drawingml/2006/picture">
                <pic:pic>
                  <pic:nvPicPr>
                    <pic:cNvPr descr="assets/diagrams/fig3-05_er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3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7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40"/>
    <w:bookmarkStart w:id="141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 Element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ครอบคลุมความต้องการ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41"/>
    <w:bookmarkStart w:id="142" w:name="b.4-state-semantics"/>
    <w:p>
      <w:pPr>
        <w:pStyle w:val="Heading2"/>
      </w:pPr>
      <w:r>
        <w:t xml:space="preserve">B.4 State Semantics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ระดับ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42"/>
    <w:bookmarkStart w:id="143" w:name="b.5-authority-matrix"/>
    <w:p>
      <w:pPr>
        <w:pStyle w:val="Heading2"/>
      </w:pPr>
      <w:r>
        <w:t xml:space="preserve">B.5 Authority Matrix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Allowed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แผนภาพประกอบอื่นของแบบจำลองเหล่านี้อยู่ในบทที่ 3 ของปริญญานิพนธ์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TBD / Open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ผู้รับผิดชอบ / หลักฐานที่จะปิดประเด็น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5"/>
    <w:bookmarkStart w:id="147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Given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146" w:name="negative-boundary-scenarios"/>
    <w:p>
      <w:pPr>
        <w:pStyle w:val="Heading2"/>
      </w:pPr>
      <w:r>
        <w:t xml:space="preserve">Negative / Boundary Scenarios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สถานการณ์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ผลที่ต้องเกิด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พนักงานคลังสองคนกดยืนยันจ่ายคำสั่งซื้อเดียวกันในเสี้ยววินาทีเดียวกัน</w:t>
            </w:r>
          </w:p>
        </w:tc>
        <w:tc>
          <w:tcPr/>
          <w:p>
            <w:pPr>
              <w:pStyle w:val="Compact"/>
            </w:pPr>
            <w:r>
              <w:t xml:space="preserve">สต็อกถูกหักครั้งเดียว และมีบันทึกการเคลื่อนไหวหนึ่งแถวต่อสินค้าหนึ่งรายการ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คำสั่งซื้อมีสินค้าสองรายการ รายการแรกมีของพอ รายการที่สองไม่พอ</w:t>
            </w:r>
          </w:p>
        </w:tc>
        <w:tc>
          <w:tcPr/>
          <w:p>
            <w:pPr>
              <w:pStyle w:val="Compact"/>
            </w:pPr>
            <w:r>
              <w:t xml:space="preserve">ยอดของรายการแรกที่หักไปแล้วในธุรกรรมต้องย้อนกลับด้วย ไม่มีการหักค้างบางส่วน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ผู้ใช้ส่งราคาสินค้ามาพร้อมคำขอเพื่อกำหนดราคาเอง</w:t>
            </w:r>
          </w:p>
        </w:tc>
        <w:tc>
          <w:tcPr/>
          <w:p>
            <w:pPr>
              <w:pStyle w:val="Compact"/>
            </w:pPr>
            <w:r>
              <w:t xml:space="preserve">ระบบใช้ราคาจากฐานข้อมูลเสมอ ค่าที่ส่งมาถูกละเลย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ผู้จัดการปรับยอดคงเหลือเป็นค่าที่จะทำให้ติดลบ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ปฏิเสธและยอดเดิมไม่เปลี่ยน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พยายามเปลี่ยนสถานะคำสั่งซื้อเป็นส่งมอบสำเร็จโดยไม่ผ่านธุรกรรมตัดสต็อก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ข้อความบนใบเสร็จมีอักขระนอกชุดรหัส TIS-620</w:t>
            </w:r>
          </w:p>
        </w:tc>
        <w:tc>
          <w:tcPr/>
          <w:p>
            <w:pPr>
              <w:pStyle w:val="Compact"/>
            </w:pPr>
            <w:r>
              <w:t xml:space="preserve">แทนด้วยช่องว่าง ไม่ส่งไบต์แปลกปลอมที่เครื่องพิมพ์อาจตีความเป็นคำสั่งควบคุม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เปิดหน้าจอบนความกว้าง 390 พิกเซล</w:t>
            </w:r>
          </w:p>
        </w:tc>
        <w:tc>
          <w:tcPr/>
          <w:p>
            <w:pPr>
              <w:pStyle w:val="Compact"/>
            </w:pPr>
            <w:r>
              <w:t xml:space="preserve">ตารางหลายคอลัมน์เปลี่ยนเป็นรายการแบบการ์ด ไม่เกิดการเลื่อนแนวนอนของทั้งหน้า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51" w:name="appendix-e-end-to-end-traceability"/>
    <w:p>
      <w:pPr>
        <w:pStyle w:val="Heading1"/>
      </w:pPr>
      <w:r>
        <w:t xml:space="preserve">Appendix E: End-to-End Traceability</w:t>
      </w:r>
    </w:p>
    <w:bookmarkStart w:id="148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ปัญหาที่พบหน้างาน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148"/>
    <w:bookmarkStart w:id="149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Requirements / Rules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49"/>
    <w:bookmarkStart w:id="150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AC-10; TC-10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AC-11; TC-09, TC-12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2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QA Check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แผนภาพประกอบครบตามช่องที่ต้นแบบกำหนด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1–7 คือแผนภาพบริบท กรณีการใช้งานสี่กลุ่ม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รหัสความต้องการตรงกับบทที่ 3 ของปริญญานิพนธ์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52"/>
    <w:sectPr w:rsidR="000671E0" w:rsidRPr="00A8151C" w:rsidSect="00034616">
      <w:headerReference r:id="rId15" w:type="default"/>
      <w:footerReference r:id="rId16" w:type="default"/>
      <w:pgSz w:h="16838" w:w="11906"/>
      <w:pgMar w:bottom="964" w:footer="397" w:gutter="0" w:header="397" w:left="1020" w:right="1020" w:top="9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1CC49E" w14:textId="77777777" w:rsidR="000671E0" w:rsidRDefault="00000000">
    <w:pPr>
      <w:pStyle w:val="Footer"/>
      <w:jc w:val="center"/>
    </w:pPr>
    <w:r>
      <w:rPr>
        <w:color w:val="70859D"/>
        <w:sz w:val="21"/>
      </w:rPr>
      <w:t xml:space="preserve">SRS v1.0 · Implemented and Verified · </w:t>
    </w:r>
    <w:proofErr w:type="spellStart"/>
    <w:r>
      <w:rPr>
        <w:color w:val="70859D"/>
        <w:sz w:val="21"/>
      </w:rPr>
      <w:t>หน้า</w:t>
    </w:r>
    <w:proofErr w:type="spellEnd"/>
    <w:r>
      <w:rPr>
        <w:color w:val="70859D"/>
        <w:sz w:val="21"/>
      </w:rPr>
      <w:t xml:space="preserve"> </w:t>
    </w:r>
    <w:r>
      <w:fldChar w:fldCharType="begin"/>
    </w:r>
    <w:r>
      <w:instrText>PAGE</w:instrText>
    </w:r>
    <w:r w:rsidR="008B6A52">
      <w:fldChar w:fldCharType="separate"/>
    </w:r>
    <w:r w:rsidR="008B6A52">
      <w:rPr>
        <w:noProof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9DFAC7" w14:textId="77777777" w:rsidR="000671E0" w:rsidRDefault="000671E0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6236"/>
      <w:gridCol w:w="3628"/>
    </w:tblGrid>
    <w:tr w:rsidR="000671E0" w14:paraId="694485BE" w14:textId="77777777">
      <w:trPr>
        <w:jc w:val="center"/>
      </w:trPr>
      <w:tc>
        <w:tcPr>
          <w:tcW w:w="6236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65AA6973" w14:textId="77777777" w:rsidR="000671E0" w:rsidRDefault="00000000">
          <w:r>
            <w:rPr>
              <w:b/>
              <w:sz w:val="21"/>
            </w:rPr>
            <w:t>ENGSE206 Intensive Weekend Class | SOML Use Case SRS</w:t>
          </w:r>
        </w:p>
      </w:tc>
      <w:tc>
        <w:tcPr>
          <w:tcW w:w="3628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559C53B7" w14:textId="77777777" w:rsidR="000671E0" w:rsidRDefault="00000000">
          <w:pPr>
            <w:jc w:val="right"/>
          </w:pPr>
          <w:r>
            <w:rPr>
              <w:b/>
              <w:color w:val="176B87"/>
              <w:sz w:val="21"/>
            </w:rPr>
            <w:t>SE RMUTL · RMUTL</w:t>
          </w:r>
        </w:p>
      </w:tc>
    </w:tr>
  </w:tbl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4235053" w:numId="1">
    <w:abstractNumId w:val="8"/>
  </w:num>
  <w:num w16cid:durableId="893151863" w:numId="2">
    <w:abstractNumId w:val="6"/>
  </w:num>
  <w:num w16cid:durableId="434790015" w:numId="3">
    <w:abstractNumId w:val="5"/>
  </w:num>
  <w:num w16cid:durableId="1847397138" w:numId="4">
    <w:abstractNumId w:val="4"/>
  </w:num>
  <w:num w16cid:durableId="1834682702" w:numId="5">
    <w:abstractNumId w:val="7"/>
  </w:num>
  <w:num w16cid:durableId="709691547" w:numId="6">
    <w:abstractNumId w:val="3"/>
  </w:num>
  <w:num w16cid:durableId="230434187" w:numId="7">
    <w:abstractNumId w:val="2"/>
  </w:num>
  <w:num w16cid:durableId="1429352140" w:numId="8">
    <w:abstractNumId w:val="1"/>
  </w:num>
  <w:num w16cid:durableId="318264663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3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E0"/>
    <w:rsid w:val="0015074B"/>
    <w:rsid w:val="0029639D"/>
    <w:rsid w:val="00326F90"/>
    <w:rsid w:val="0084071B"/>
    <w:rsid w:val="008B6A52"/>
    <w:rsid w:val="009918AF"/>
    <w:rsid w:val="00A8151C"/>
    <w:rsid w:val="00AA1D8D"/>
    <w:rsid w:val="00B47730"/>
    <w:rsid w:val="00CB0664"/>
    <w:rsid w:val="00FA4321"/>
    <w:rsid w:val="00FC693F"/>
  </w:rsids>
  <w:themeFontLang w:bidi="th-TH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80" w:line="252" w:lineRule="auto"/>
    </w:pPr>
    <w:rPr>
      <w:rFonts w:ascii="TH Sarabun New" w:eastAsia="TH Sarabun New" w:hAnsi="TH Sarabun New"/>
      <w:color w:val="183B63"/>
      <w:sz w:val="3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160"/>
      <w:outlineLvl w:val="0"/>
    </w:pPr>
    <w:rPr>
      <w:rFonts w:asciiTheme="majorHAnsi" w:cstheme="majorBidi" w:eastAsiaTheme="majorEastAsia" w:hAnsiTheme="majorHAnsi"/>
      <w:b/>
      <w:bCs/>
      <w:sz w:val="4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160"/>
      <w:outlineLvl w:val="1"/>
    </w:pPr>
    <w:rPr>
      <w:rFonts w:asciiTheme="majorHAnsi" w:cstheme="majorBidi" w:eastAsiaTheme="majorEastAsia" w:hAnsiTheme="majorHAnsi"/>
      <w:b/>
      <w:bCs/>
      <w:color w:val="176B87"/>
      <w:sz w:val="3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160"/>
      <w:outlineLvl w:val="2"/>
    </w:pPr>
    <w:rPr>
      <w:rFonts w:asciiTheme="majorHAnsi" w:cstheme="majorBidi" w:eastAsiaTheme="majorEastAsia" w:hAnsiTheme="majorHAnsi"/>
      <w:b/>
      <w:bCs/>
      <w:color w:val="E28A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160"/>
      <w:outlineLvl w:val="3"/>
    </w:pPr>
    <w:rPr>
      <w:rFonts w:asciiTheme="majorHAnsi" w:cstheme="majorBidi" w:eastAsiaTheme="majorEastAsia" w:hAnsiTheme="majorHAnsi"/>
      <w:b/>
      <w:bCs/>
      <w:i/>
      <w:iCs/>
      <w:color w:val="2E6AA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160" w:line="240" w:lineRule="auto"/>
      <w:contextualSpacing/>
    </w:pPr>
    <w:rPr>
      <w:rFonts w:asciiTheme="majorHAnsi" w:cstheme="majorBidi" w:eastAsiaTheme="majorEastAsia" w:hAnsiTheme="majorHAnsi"/>
      <w:b/>
      <w:spacing w:val="5"/>
      <w:kern w:val="28"/>
      <w:sz w:val="7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before="160"/>
    </w:pPr>
    <w:rPr>
      <w:rFonts w:asciiTheme="majorHAnsi" w:cstheme="majorBidi" w:eastAsiaTheme="majorEastAsia" w:hAnsiTheme="majorHAnsi"/>
      <w:b/>
      <w:i/>
      <w:iCs/>
      <w:color w:val="176B87"/>
      <w:spacing w:val="15"/>
      <w:sz w:val="4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able" w:type="table">
    <w:name w:val="Table"/>
    <w:basedOn w:val="TableNormal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bCs/>
        <w:color w:val="FFFFFF"/>
      </w:rPr>
      <w:tcPr>
        <w:shd w:color="auto" w:fill="183B6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6" Target="footer1.xml" Type="http://schemas.openxmlformats.org/officeDocument/2006/relationships/footer" /><Relationship Id="rId15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jpg" /><Relationship Type="http://schemas.openxmlformats.org/officeDocument/2006/relationships/image" Id="rId42" Target="media/rId42.png" /><Relationship Type="http://schemas.openxmlformats.org/officeDocument/2006/relationships/image" Id="rId137" Target="media/rId137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133" Target="media/rId1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4982</Words>
  <Characters>28404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2026-09-08T14:45:37Z</dcterms:created>
  <dcterms:modified xsi:type="dcterms:W3CDTF">2026-09-08T14:45:37Z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