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E9DE0">
      <w:pPr>
        <w:spacing w:before="0" w:after="80" w:line="312" w:lineRule="auto"/>
        <w:ind w:firstLine="0"/>
        <w:jc w:val="center"/>
      </w:pPr>
      <w:r>
        <w:rPr>
          <w:rFonts w:ascii="黑体" w:hAnsi="黑体" w:eastAsia="黑体"/>
          <w:b/>
          <w:sz w:val="36"/>
        </w:rPr>
        <w:t>从低空遥感到智能招领</w:t>
      </w:r>
    </w:p>
    <w:p w14:paraId="29D53E3E">
      <w:pPr>
        <w:spacing w:before="0" w:after="240" w:line="312" w:lineRule="auto"/>
        <w:ind w:firstLine="0"/>
        <w:jc w:val="center"/>
      </w:pPr>
      <w:r>
        <w:rPr>
          <w:rFonts w:ascii="黑体" w:hAnsi="黑体" w:eastAsia="黑体"/>
          <w:b/>
          <w:sz w:val="32"/>
        </w:rPr>
        <w:t>——Aimback实践团队2026年暑期社会实践报告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</w:tblGrid>
      <w:tr w14:paraId="00C92B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21FE03A2">
            <w:pPr>
              <w:spacing w:before="0" w:after="0" w:line="276" w:lineRule="auto"/>
              <w:ind w:firstLine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团队名称</w:t>
            </w:r>
          </w:p>
        </w:tc>
        <w:tc>
          <w:tcPr>
            <w:tcW w:w="221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7289781E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Aimback实践团队</w:t>
            </w:r>
          </w:p>
        </w:tc>
        <w:tc>
          <w:tcPr>
            <w:tcW w:w="221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5DFA63FF">
            <w:pPr>
              <w:spacing w:before="0" w:after="0" w:line="276" w:lineRule="auto"/>
              <w:ind w:firstLine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指导教师</w:t>
            </w:r>
          </w:p>
        </w:tc>
        <w:tc>
          <w:tcPr>
            <w:tcW w:w="221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0CA80CBD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伍琳玲</w:t>
            </w:r>
          </w:p>
        </w:tc>
      </w:tr>
      <w:tr w14:paraId="7229BC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0464F597">
            <w:pPr>
              <w:spacing w:before="0" w:after="0" w:line="276" w:lineRule="auto"/>
              <w:ind w:firstLine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所属学院</w:t>
            </w:r>
          </w:p>
        </w:tc>
        <w:tc>
          <w:tcPr>
            <w:tcW w:w="221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32496452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牧星学院·致元书院</w:t>
            </w:r>
          </w:p>
        </w:tc>
        <w:tc>
          <w:tcPr>
            <w:tcW w:w="221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590B13F1">
            <w:pPr>
              <w:spacing w:before="0" w:after="0" w:line="276" w:lineRule="auto"/>
              <w:ind w:firstLine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实践形式</w:t>
            </w:r>
          </w:p>
        </w:tc>
        <w:tc>
          <w:tcPr>
            <w:tcW w:w="221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2F433BC5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团队实践</w:t>
            </w:r>
          </w:p>
        </w:tc>
      </w:tr>
      <w:tr w14:paraId="13ABB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18FED38B">
            <w:pPr>
              <w:spacing w:before="0" w:after="0" w:line="276" w:lineRule="auto"/>
              <w:ind w:firstLine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实践时间</w:t>
            </w:r>
          </w:p>
        </w:tc>
        <w:tc>
          <w:tcPr>
            <w:tcW w:w="221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41567054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2026年7月10日至2026年8月20日</w:t>
            </w:r>
          </w:p>
        </w:tc>
        <w:tc>
          <w:tcPr>
            <w:tcW w:w="221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2053B2B2">
            <w:pPr>
              <w:spacing w:before="0" w:after="0" w:line="276" w:lineRule="auto"/>
              <w:ind w:firstLine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实践天数</w:t>
            </w:r>
          </w:p>
        </w:tc>
        <w:tc>
          <w:tcPr>
            <w:tcW w:w="221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468632F5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42天</w:t>
            </w:r>
          </w:p>
        </w:tc>
      </w:tr>
      <w:tr w14:paraId="1D6AE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7AB9EB62">
            <w:pPr>
              <w:spacing w:before="0" w:after="0" w:line="276" w:lineRule="auto"/>
              <w:ind w:firstLine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实践地点</w:t>
            </w:r>
          </w:p>
        </w:tc>
        <w:tc>
          <w:tcPr>
            <w:tcW w:w="6633" w:type="dxa"/>
            <w:gridSpan w:val="3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09F05557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山东省枣庄市（岗位学习）；线上协同开发</w:t>
            </w:r>
          </w:p>
        </w:tc>
      </w:tr>
      <w:tr w14:paraId="41907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2587E40A">
            <w:pPr>
              <w:spacing w:before="0" w:after="0" w:line="276" w:lineRule="auto"/>
              <w:ind w:firstLine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实践主题</w:t>
            </w:r>
          </w:p>
        </w:tc>
        <w:tc>
          <w:tcPr>
            <w:tcW w:w="6633" w:type="dxa"/>
            <w:gridSpan w:val="3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2261ACE2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低空经济岗位学习与智能失物招领平台建设</w:t>
            </w:r>
          </w:p>
        </w:tc>
      </w:tr>
      <w:tr w14:paraId="4412A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050D5580">
            <w:pPr>
              <w:spacing w:before="0" w:after="0" w:line="276" w:lineRule="auto"/>
              <w:ind w:firstLine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实践单位</w:t>
            </w:r>
          </w:p>
        </w:tc>
        <w:tc>
          <w:tcPr>
            <w:tcW w:w="6633" w:type="dxa"/>
            <w:gridSpan w:val="3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4E5B8B25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枣庄低空经济动力谷相关岗位；南京航空航天大学牧星学院</w:t>
            </w:r>
          </w:p>
        </w:tc>
      </w:tr>
    </w:tbl>
    <w:p w14:paraId="39CF16C7">
      <w:pPr>
        <w:spacing w:before="20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2026年7月10日至8月20日，南京航空航天大学牧星学院致元书院Aimback实践团队，在指导教师伍琳玲老师指导下，开展了为期四十二天的暑期社会实践。实践包含相互衔接的两部分：一是赴山东省枣庄市低空经济动力谷相关岗位参观学习约两周，了解无人机遥感如何服务城市治理；二是建设面向校园的人工智能失物招领平台Aimback，打通“发布—搜索—匹配—认领—归还”核心链路。团队共十人，覆盖开发、合规、运营、测试与调研宣传，克服暑期异地分散的困难，完成网页版v0，域名www.aimback.cn已完成ICP备案。现将团队实践情况报告如下。</w:t>
      </w:r>
    </w:p>
    <w:p w14:paraId="24B2A48B">
      <w:pPr>
        <w:spacing w:before="240" w:after="120" w:line="336" w:lineRule="auto"/>
        <w:ind w:firstLine="0"/>
        <w:jc w:val="left"/>
      </w:pPr>
      <w:r>
        <w:rPr>
          <w:rFonts w:ascii="黑体" w:hAnsi="黑体" w:eastAsia="黑体"/>
          <w:b/>
          <w:sz w:val="28"/>
        </w:rPr>
        <w:t>一、实践背景与选题意义</w:t>
      </w:r>
    </w:p>
    <w:p w14:paraId="64E1B983"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校园失物招领长期存在信息分散、匹配效率低的问题。表白墙、班级群消息流动快、容易被覆盖；线下失物角和保卫处需要反复跑现场。实践摸底发现：一条招领信息很快被后来的聊天顶下去，看到的人有限，能对上号的更少。捡到东西的同学大多愿意归还，却不知道交给谁，放回原地怕再丢，送到保卫处又嫌麻烦，最后不少人选择先自己收着。失主常用文字回忆“黑色钱包”“某型号耳机”，拾取者手头却是一张现场照片，两边缺少共同语言；即便碰巧刷到相似信息，同型号物品也几乎无法仅凭外观证明“这就是我的那一件”。</w:t>
      </w:r>
    </w:p>
    <w:p w14:paraId="067340EA"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与此同时，低空经济正在从概念走向城市治理现场。无人机不再只是航拍工具，而成为巡查拥堵、违停、垃圾和河道漂浮物的眼睛。团队认为，这两类问题本质相近：都要把图像和文字对应起来，都要把“看见”变成可核验、可办理的动作。因此，实践主题确定为——先到枣庄学习低空遥感如何进入工作流，再把同样的问题意识做成一个低成本流动信息的失物招领平台，让善意更有回响。初期以学校为试点，后续可扩展至商场、车站、公园和社区。</w:t>
      </w:r>
    </w:p>
    <w:p w14:paraId="5F89C2B1">
      <w:pPr>
        <w:spacing w:before="240" w:after="120" w:line="336" w:lineRule="auto"/>
        <w:ind w:firstLine="0"/>
        <w:jc w:val="left"/>
      </w:pPr>
      <w:r>
        <w:rPr>
          <w:rFonts w:ascii="黑体" w:hAnsi="黑体" w:eastAsia="黑体"/>
          <w:b/>
          <w:sz w:val="28"/>
        </w:rPr>
        <w:t>二、实践过程</w:t>
      </w:r>
    </w:p>
    <w:p w14:paraId="27E9B967">
      <w:pPr>
        <w:spacing w:before="160" w:after="80" w:line="336" w:lineRule="auto"/>
        <w:ind w:firstLine="0"/>
        <w:jc w:val="left"/>
      </w:pPr>
      <w:r>
        <w:rPr>
          <w:rFonts w:ascii="黑体" w:hAnsi="黑体" w:eastAsia="黑体"/>
          <w:b/>
          <w:sz w:val="24"/>
        </w:rPr>
        <w:t>（一）枣庄跟岗：把低空经济还原成每天要办结的线索</w:t>
      </w:r>
    </w:p>
    <w:p w14:paraId="1FAEF630"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实践前期，团队组织赴枣庄低空经济动力谷参观学习约两周。抵达后参观动力谷展厅及周边园区，对当地低空产业布局形成直观认识：低空经济不是展板上的未来图景，而是已经铺开的办公楼、展厅、在建工地和正在运转的业务系统。随后部分成员进入与低空经济相关的部门工位跟岗。工位按真实岗位运转，值班、巡查、发现问题和办结线索构成日常节奏。</w:t>
      </w:r>
    </w:p>
    <w:p w14:paraId="7DE95773"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该部门核心业务是让无人机飞在天上，持续检测市区地面情况，覆盖路线拥堵、非法停车、耕地面积，以及垃圾堆放、河道和水面漂浮物等。在“枣庄市核心区无人机遥感网”业务大屏上，飞行调度、线索发现与办结情况一目了然，水域不洁、暴雨垃圾、秸秆焚烧、湿地生态破坏等类型对应到具体地点和时间。跟岗使团队明白：真正难的不是“无人机能不能飞”，而是“飞完之后能不能变成治理动作”。航拍只是采集，识别才把图像变成问题，分派和办结才让问题离开屏幕、回到街头。这对后续做Aimback影响直接——匹配必须能被理解，认领必须能被追溯，归还必须形成闭环，算法只有进入工作流才有公共价值。</w:t>
      </w:r>
    </w:p>
    <w:p w14:paraId="2A0262BC">
      <w:pPr>
        <w:spacing w:before="160" w:after="40" w:line="240" w:lineRule="auto"/>
        <w:ind w:firstLine="0"/>
        <w:jc w:val="center"/>
      </w:pPr>
      <w:r>
        <w:drawing>
          <wp:inline distT="0" distB="0" distL="114300" distR="114300">
            <wp:extent cx="4967605" cy="3721100"/>
            <wp:effectExtent l="0" t="0" r="1079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72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C692">
      <w:pPr>
        <w:spacing w:before="0" w:after="120" w:line="276" w:lineRule="auto"/>
        <w:ind w:firstLine="0"/>
        <w:jc w:val="center"/>
      </w:pPr>
      <w:r>
        <w:rPr>
          <w:rFonts w:ascii="宋体" w:hAnsi="宋体" w:eastAsia="宋体"/>
          <w:b w:val="0"/>
          <w:sz w:val="21"/>
        </w:rPr>
        <w:t>图1  2026年7月  Aimback实践团队在枣庄低空经济动力谷开展参观学习（动力谷展厅）</w:t>
      </w:r>
    </w:p>
    <w:p w14:paraId="17D3577D">
      <w:pPr>
        <w:spacing w:before="160" w:after="40" w:line="240" w:lineRule="auto"/>
        <w:ind w:firstLine="0"/>
        <w:jc w:val="center"/>
      </w:pPr>
      <w:r>
        <w:drawing>
          <wp:inline distT="0" distB="0" distL="114300" distR="114300">
            <wp:extent cx="4967605" cy="3740150"/>
            <wp:effectExtent l="0" t="0" r="1079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7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2EAD">
      <w:pPr>
        <w:spacing w:before="0" w:after="120" w:line="276" w:lineRule="auto"/>
        <w:ind w:firstLine="0"/>
        <w:jc w:val="center"/>
      </w:pPr>
      <w:r>
        <w:rPr>
          <w:rFonts w:ascii="宋体" w:hAnsi="宋体" w:eastAsia="宋体"/>
          <w:b w:val="0"/>
          <w:sz w:val="21"/>
        </w:rPr>
        <w:t>图2  2026年7月  Aimback实践团队在枣庄低空经济相关部门工位开展岗位学习</w:t>
      </w:r>
    </w:p>
    <w:p w14:paraId="51372847">
      <w:pPr>
        <w:spacing w:before="160" w:after="40" w:line="240" w:lineRule="auto"/>
        <w:ind w:firstLine="0"/>
        <w:jc w:val="center"/>
      </w:pPr>
      <w:r>
        <w:drawing>
          <wp:inline distT="0" distB="0" distL="114300" distR="114300">
            <wp:extent cx="4967605" cy="3721100"/>
            <wp:effectExtent l="0" t="0" r="1079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72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45B2">
      <w:pPr>
        <w:spacing w:before="0" w:after="120" w:line="276" w:lineRule="auto"/>
        <w:ind w:firstLine="0"/>
        <w:jc w:val="center"/>
      </w:pPr>
      <w:r>
        <w:rPr>
          <w:rFonts w:ascii="宋体" w:hAnsi="宋体" w:eastAsia="宋体"/>
          <w:b w:val="0"/>
          <w:sz w:val="21"/>
        </w:rPr>
        <w:t>图3  2026年7月  Aimback实践团队在学习枣庄市核心区无人机遥感网运行及城市治理应用</w:t>
      </w:r>
    </w:p>
    <w:p w14:paraId="0320A5DF">
      <w:pPr>
        <w:spacing w:before="160" w:after="80" w:line="336" w:lineRule="auto"/>
        <w:ind w:firstLine="0"/>
        <w:jc w:val="left"/>
      </w:pPr>
      <w:r>
        <w:rPr>
          <w:rFonts w:ascii="黑体" w:hAnsi="黑体" w:eastAsia="黑体"/>
          <w:b/>
          <w:sz w:val="24"/>
        </w:rPr>
        <w:t>（二）平台建设：把“找得到、认得准、还得安全”做成可验证链路</w:t>
      </w:r>
    </w:p>
    <w:p w14:paraId="31A8EA4E"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枣庄跟岗的同时，团队同步推进Aimback建设。平台采用网页端先行、小程序后续排期的策略，两端计划共用统一后端、数据库、图片存储与人工智能匹配能力。暑期冲刺聚焦最小可行产品：功能可以少，但核心链路必须完整可用——拾取者发布，失主搜索命中，双方问答确认，完成归还。网页版v0已跑通上述链路。即时聊天本轮不做，认领通过后展示联系方式；评测集先做二十至三十组，验证“图文匹配确实能把候选缩小到少量结果”，再视试点情况扩大。</w:t>
      </w:r>
    </w:p>
    <w:p w14:paraId="038DA6BF">
      <w:pPr>
        <w:spacing w:before="240" w:after="120" w:line="336" w:lineRule="auto"/>
        <w:ind w:firstLine="0"/>
        <w:jc w:val="left"/>
      </w:pPr>
      <w:r>
        <w:rPr>
          <w:rFonts w:ascii="黑体" w:hAnsi="黑体" w:eastAsia="黑体"/>
          <w:b/>
          <w:sz w:val="28"/>
        </w:rPr>
        <w:t>三、团队构成与协作机制</w:t>
      </w:r>
    </w:p>
    <w:p w14:paraId="68E0B42C">
      <w:pPr>
        <w:spacing w:before="0" w:after="16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团队共十人，采用“技术+业务+合规”的闭环分工：六人承担开发，四人承担法律文本、官方对接、测试走查与调研宣传。接口契约第一天冻结，前端基于模拟数据并行开工；每日固定十五分钟站会，问题不过夜。受暑期各自返乡所限，除两名同学在同一地点外，其余均线上协作。非开发成员不占用代码分支，走查清单、问题记录和评测标注以文档沉淀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4422"/>
      </w:tblGrid>
      <w:tr w14:paraId="52196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301170F4">
            <w:pPr>
              <w:spacing w:before="0" w:after="0" w:line="276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姓名</w:t>
            </w:r>
          </w:p>
        </w:tc>
        <w:tc>
          <w:tcPr>
            <w:tcW w:w="4422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08DA6E3F">
            <w:pPr>
              <w:spacing w:before="0" w:after="0" w:line="276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分工职责</w:t>
            </w:r>
          </w:p>
        </w:tc>
      </w:tr>
      <w:tr w14:paraId="3B3A2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73A148D7">
            <w:pPr>
              <w:spacing w:before="0" w:after="0" w:line="276" w:lineRule="auto"/>
              <w:ind w:firstLine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孙文博（队长）</w:t>
            </w:r>
          </w:p>
        </w:tc>
        <w:tc>
          <w:tcPr>
            <w:tcW w:w="4422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49261CB3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人工智能封装：图片与文本向量化、多视图检索、评测集建设、整体联调与技术把关</w:t>
            </w:r>
          </w:p>
        </w:tc>
      </w:tr>
      <w:tr w14:paraId="1BD7A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56421199">
            <w:pPr>
              <w:spacing w:before="0" w:after="0" w:line="276" w:lineRule="auto"/>
              <w:ind w:firstLine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叶建新</w:t>
            </w:r>
          </w:p>
        </w:tc>
        <w:tc>
          <w:tcPr>
            <w:tcW w:w="4422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17F49E73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数据模型与迁移、帖子接口（含硬过滤）、接口契约定稿</w:t>
            </w:r>
          </w:p>
        </w:tc>
      </w:tr>
      <w:tr w14:paraId="7DDA9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4BC3EE97">
            <w:pPr>
              <w:spacing w:before="0" w:after="0" w:line="276" w:lineRule="auto"/>
              <w:ind w:firstLine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李子骞</w:t>
            </w:r>
          </w:p>
        </w:tc>
        <w:tc>
          <w:tcPr>
            <w:tcW w:w="4422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14D28744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账号鉴权与短信认证、图片上传签名、部署与安全基线</w:t>
            </w:r>
          </w:p>
        </w:tc>
      </w:tr>
      <w:tr w14:paraId="1CE49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085823B3">
            <w:pPr>
              <w:spacing w:before="0" w:after="0" w:line="276" w:lineRule="auto"/>
              <w:ind w:firstLine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赵悦</w:t>
            </w:r>
          </w:p>
        </w:tc>
        <w:tc>
          <w:tcPr>
            <w:tcW w:w="4422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14C712DA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认领状态机、认领问答接口、权限基线</w:t>
            </w:r>
          </w:p>
        </w:tc>
      </w:tr>
      <w:tr w14:paraId="191D8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3CC52855">
            <w:pPr>
              <w:spacing w:before="0" w:after="0" w:line="276" w:lineRule="auto"/>
              <w:ind w:firstLine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车艾佳</w:t>
            </w:r>
          </w:p>
        </w:tc>
        <w:tc>
          <w:tcPr>
            <w:tcW w:w="4422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0D2EE01A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前端骨架与路由、发布页、搜索结果页</w:t>
            </w:r>
          </w:p>
        </w:tc>
      </w:tr>
      <w:tr w14:paraId="2303A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32406FE4">
            <w:pPr>
              <w:spacing w:before="0" w:after="0" w:line="276" w:lineRule="auto"/>
              <w:ind w:firstLine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涂美灵</w:t>
            </w:r>
          </w:p>
        </w:tc>
        <w:tc>
          <w:tcPr>
            <w:tcW w:w="4422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2B89FE77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视觉规范、登录注册页、列表页与详情页（含认领问答）</w:t>
            </w:r>
          </w:p>
        </w:tc>
      </w:tr>
      <w:tr w14:paraId="56A91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1C40D767">
            <w:pPr>
              <w:spacing w:before="0" w:after="0" w:line="276" w:lineRule="auto"/>
              <w:ind w:firstLine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吴娴越</w:t>
            </w:r>
          </w:p>
        </w:tc>
        <w:tc>
          <w:tcPr>
            <w:tcW w:w="4422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3132A1E8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隐私政策与用户协议（法学，不参与代码）</w:t>
            </w:r>
          </w:p>
        </w:tc>
      </w:tr>
      <w:tr w14:paraId="124A9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5FE8120B">
            <w:pPr>
              <w:spacing w:before="0" w:after="0" w:line="276" w:lineRule="auto"/>
              <w:ind w:firstLine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孟庆杰</w:t>
            </w:r>
          </w:p>
        </w:tc>
        <w:tc>
          <w:tcPr>
            <w:tcW w:w="4422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109AAA32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对接官方失物招领处、冷启动与内容审核</w:t>
            </w:r>
          </w:p>
        </w:tc>
      </w:tr>
      <w:tr w14:paraId="4330D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336C7CE5">
            <w:pPr>
              <w:spacing w:before="0" w:after="0" w:line="276" w:lineRule="auto"/>
              <w:ind w:firstLine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徐昊阳</w:t>
            </w:r>
          </w:p>
        </w:tc>
        <w:tc>
          <w:tcPr>
            <w:tcW w:w="4422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715A71F1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核心链路测试走查、评测集标注协助</w:t>
            </w:r>
          </w:p>
        </w:tc>
      </w:tr>
      <w:tr w14:paraId="072CD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362BCA12">
            <w:pPr>
              <w:spacing w:before="0" w:after="0" w:line="276" w:lineRule="auto"/>
              <w:ind w:firstLine="0"/>
              <w:jc w:val="left"/>
            </w:pPr>
            <w:r>
              <w:rPr>
                <w:rFonts w:ascii="黑体" w:hAnsi="黑体" w:eastAsia="黑体"/>
                <w:b/>
                <w:sz w:val="21"/>
              </w:rPr>
              <w:t>刘祖涵</w:t>
            </w:r>
          </w:p>
        </w:tc>
        <w:tc>
          <w:tcPr>
            <w:tcW w:w="4422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772B9F5C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用户调研、宣传媒体与后续迭代预研</w:t>
            </w:r>
          </w:p>
        </w:tc>
      </w:tr>
    </w:tbl>
    <w:p w14:paraId="0192230A">
      <w:pPr>
        <w:spacing w:before="160" w:after="40" w:line="240" w:lineRule="auto"/>
        <w:ind w:firstLine="0"/>
        <w:jc w:val="center"/>
      </w:pPr>
      <w:bookmarkStart w:id="0" w:name="_GoBack"/>
      <w:r>
        <w:drawing>
          <wp:inline distT="0" distB="0" distL="114300" distR="114300">
            <wp:extent cx="4686300" cy="26644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 l="-102" t="14562" r="21667" b="1203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B779C5E">
      <w:pPr>
        <w:spacing w:before="0" w:after="120" w:line="276" w:lineRule="auto"/>
        <w:ind w:firstLine="0"/>
        <w:jc w:val="center"/>
      </w:pPr>
      <w:r>
        <w:rPr>
          <w:rFonts w:ascii="宋体" w:hAnsi="宋体" w:eastAsia="宋体"/>
          <w:b w:val="0"/>
          <w:sz w:val="21"/>
        </w:rPr>
        <w:t>图4  2026年7月至8月  Aimback实践团队在开展线上会议，商讨平台方案与协作安排</w:t>
      </w:r>
    </w:p>
    <w:p w14:paraId="27C915E4">
      <w:pPr>
        <w:spacing w:before="16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协作看起来是在对进度，实际上是在对责任：谁先冻结接口、谁不阻塞别人、风险必须在哪一天说出来。人工智能检索被明确为本轮最高风险点，若进度滞后，须在第四天前降级为硬过滤加关键词召回，不能拖到走查当天才暴露。走查最花时间的是边界情况——未登录点发布会否跳转、超大图片会否卡住、搜索无结果时页面会否空白。这些在顺利操作里不会出现，却是真实用户最容易撞上的地方。</w:t>
      </w:r>
    </w:p>
    <w:p w14:paraId="0D1338DE">
      <w:pPr>
        <w:spacing w:before="160" w:after="40" w:line="240" w:lineRule="auto"/>
        <w:ind w:firstLine="0"/>
        <w:jc w:val="center"/>
      </w:pPr>
      <w:r>
        <w:drawing>
          <wp:inline distT="0" distB="0" distL="114300" distR="114300">
            <wp:extent cx="4967605" cy="6632575"/>
            <wp:effectExtent l="0" t="0" r="1079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663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6B2D">
      <w:pPr>
        <w:spacing w:before="0" w:after="120" w:line="276" w:lineRule="auto"/>
        <w:ind w:firstLine="0"/>
        <w:jc w:val="center"/>
      </w:pPr>
      <w:r>
        <w:rPr>
          <w:rFonts w:ascii="宋体" w:hAnsi="宋体" w:eastAsia="宋体"/>
          <w:b w:val="0"/>
          <w:sz w:val="21"/>
        </w:rPr>
        <w:t>图5  2026年7月至8月  Aimback实践团队在对照技术路径大纲梳理分工、一周节奏与风险控制</w:t>
      </w:r>
    </w:p>
    <w:p w14:paraId="2586EB33">
      <w:pPr>
        <w:spacing w:before="240" w:after="120" w:line="336" w:lineRule="auto"/>
        <w:ind w:firstLine="0"/>
        <w:jc w:val="left"/>
      </w:pPr>
      <w:r>
        <w:rPr>
          <w:rFonts w:ascii="黑体" w:hAnsi="黑体" w:eastAsia="黑体"/>
          <w:b/>
          <w:sz w:val="28"/>
        </w:rPr>
        <w:t>四、关键技术决策与实践成果</w:t>
      </w:r>
    </w:p>
    <w:p w14:paraId="279A1387">
      <w:pPr>
        <w:spacing w:before="0" w:after="16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平台技术栈以稳定可落地为先：网页前端Vue 3与TypeScript，后端Python、Django与DRF，数据库PostgreSQL，图片直传腾讯云对象存储，多模态向量调用云服务，业务跑在两核四吉内存的服务器上。若干关键取舍如下。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47C9B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6EBB20F2">
            <w:pPr>
              <w:spacing w:before="0" w:after="0" w:line="276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决策维度</w:t>
            </w:r>
          </w:p>
        </w:tc>
        <w:tc>
          <w:tcPr>
            <w:tcW w:w="2948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485CC114">
            <w:pPr>
              <w:spacing w:before="0" w:after="0" w:line="276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曾考虑的方案</w:t>
            </w:r>
          </w:p>
        </w:tc>
        <w:tc>
          <w:tcPr>
            <w:tcW w:w="2948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  <w:shd w:val="clear" w:color="auto" w:fill="F2F4F7"/>
          </w:tcPr>
          <w:p w14:paraId="40608E01">
            <w:pPr>
              <w:spacing w:before="0" w:after="0" w:line="276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最终选择与理由</w:t>
            </w:r>
          </w:p>
        </w:tc>
      </w:tr>
      <w:tr w14:paraId="2A923E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13C6C22C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匹配策略</w:t>
            </w:r>
          </w:p>
        </w:tc>
        <w:tc>
          <w:tcPr>
            <w:tcW w:w="2948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4A841284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3D建模比对</w:t>
            </w:r>
          </w:p>
        </w:tc>
        <w:tc>
          <w:tcPr>
            <w:tcW w:w="2948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5A1694F7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多视图向量检索。3D建模对设备要求高、重建易失败，且仍无法证明归属；改为每张图片独立生成向量，检索取最相似一张计分。</w:t>
            </w:r>
          </w:p>
        </w:tc>
      </w:tr>
      <w:tr w14:paraId="081C5F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798797FD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检索逻辑</w:t>
            </w:r>
          </w:p>
        </w:tc>
        <w:tc>
          <w:tcPr>
            <w:tcW w:w="2948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0D8F662F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纯向量搜索</w:t>
            </w:r>
          </w:p>
        </w:tc>
        <w:tc>
          <w:tcPr>
            <w:tcW w:w="2948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4C4B3BB6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硬过滤加混合召回。先按类别、时间、地点缩小范围，再结合向量相似度与关键词排序，提高可解释性。</w:t>
            </w:r>
          </w:p>
        </w:tc>
      </w:tr>
      <w:tr w14:paraId="21A8C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13D34370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所有权确认</w:t>
            </w:r>
          </w:p>
        </w:tc>
        <w:tc>
          <w:tcPr>
            <w:tcW w:w="2948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0DB1A4D1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算法自动判定</w:t>
            </w:r>
          </w:p>
        </w:tc>
        <w:tc>
          <w:tcPr>
            <w:tcW w:w="2948" w:type="dxa"/>
            <w:tcBorders>
              <w:top w:val="single" w:color="B0B7C3" w:sz="4" w:space="0"/>
              <w:left w:val="single" w:color="B0B7C3" w:sz="4" w:space="0"/>
              <w:bottom w:val="single" w:color="B0B7C3" w:sz="4" w:space="0"/>
              <w:right w:val="single" w:color="B0B7C3" w:sz="4" w:space="0"/>
            </w:tcBorders>
          </w:tcPr>
          <w:p w14:paraId="1D3946F8">
            <w:pPr>
              <w:spacing w:before="0" w:after="0" w:line="276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隐藏特征问答。算法只推荐候选，最终归属由拾取者核对“只有失主知道的细节”确认，平台不做裁判。</w:t>
            </w:r>
          </w:p>
        </w:tc>
      </w:tr>
    </w:tbl>
    <w:p w14:paraId="141C5C3B">
      <w:pPr>
        <w:spacing w:before="16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安全与合规同步设计，而不是上线后再补。手机号登录使用云短信服务；密码哈希存储，禁止明文；身份证二要素核验因主体资质暂未开通，做成可开关能力，当前以所有权举证和拾取者判定为主，并引导贵重物品移交官方保管点。精确坐标、保管地点等敏感信息只留在服务端，接口层裁剪，前端不暴露。证件类物品发布时强制提醒移交公安机关或官方招领处，不鼓励上传清晰证件照。</w:t>
      </w:r>
    </w:p>
    <w:p w14:paraId="694EED4C"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截至实践结束，团队形成三方面成果：一是可运行的网页版v0与已备案域名，核心链路经过走查；二是完整的接口契约、技术路径大纲、协作规范及隐私政策、用户协议草稿，使后续迭代有据可依；三是在枣庄跟岗中建立的问题意识——公共技术必须把线索办结，而不能停在演示。</w:t>
      </w:r>
    </w:p>
    <w:p w14:paraId="27E4A84A">
      <w:pPr>
        <w:spacing w:before="240" w:after="120" w:line="336" w:lineRule="auto"/>
        <w:ind w:firstLine="0"/>
        <w:jc w:val="left"/>
      </w:pPr>
      <w:r>
        <w:rPr>
          <w:rFonts w:ascii="黑体" w:hAnsi="黑体" w:eastAsia="黑体"/>
          <w:b/>
          <w:sz w:val="28"/>
        </w:rPr>
        <w:t>五、运营规则与社会责任</w:t>
      </w:r>
    </w:p>
    <w:p w14:paraId="71E38EA3"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团队在追求匹配效率的同时，把合规与人文关怀写进规则。冷启动优先对接学校保卫处等官方保管点，获取书面或邮件授权后再导入数据，杜绝擅自爬取。未完结帖九十天自动关闭，账号注销后匿名化处理。内容审核在最小可行阶段依赖举报加人工，并预留后续接入内容安全接口的位置。平台不充当裁判：认领纠纷由拾取者或保管点判定，物品归谁不由算法决定。枣庄遥感网把异常变成可办理线索，Aimback则把物品变成可核验的归还过程。二者都提醒我们：服务社会不是把功能堆上去，而是对每一个可能受伤的人负责。</w:t>
      </w:r>
    </w:p>
    <w:p w14:paraId="489D3163">
      <w:pPr>
        <w:spacing w:before="240" w:after="120" w:line="336" w:lineRule="auto"/>
        <w:ind w:firstLine="0"/>
        <w:jc w:val="left"/>
      </w:pPr>
      <w:r>
        <w:rPr>
          <w:rFonts w:ascii="黑体" w:hAnsi="黑体" w:eastAsia="黑体"/>
          <w:b/>
          <w:sz w:val="28"/>
        </w:rPr>
        <w:t>六、收获、不足与今后打算</w:t>
      </w:r>
    </w:p>
    <w:p w14:paraId="7B8C2D50"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通过这次实践，团队在三方面得到锻炼。认知上，不再把人工智能看成单一模型竞赛，而看成采集、识别、分派、核验、办结的链条；低空岗位让大家见到城市治理对时效和可追溯的要求，平台建设则让大家见到接口、权限和协作纪律。能力上，异地冲刺、契约先行、风险按时暴露、边界走查，都比课程作业更接近真实工程。情怀上，无论是河道漂浮物还是图书馆里找不到的耳机，都不是小事。把专业本领用在一座城的治理和一所学校的急难上，同样是青春担当。</w:t>
      </w:r>
    </w:p>
    <w:p w14:paraId="2ED86C75"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不足同样明确。枣庄两周以参观学习和跟岗为主，对航线规划、识别模型和线索派发的掌握仍浅；Aimback虽已跑通核心链路，真实用户规模和校园试点尚未铺开，与保卫处、书院一线的稳定协作仍待落地；评测集规模偏小，匹配效果还需要更多真实样本说话。跨专业沟通时，技术同学仍容易先讲模块，而忽略先讲清用户走哪一步、风险在哪里。</w:t>
      </w:r>
    </w:p>
    <w:p w14:paraId="7A423D29"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下一步，团队将扩大评测集至一百至三百组，量化召回与误报；推进校园小范围试点，完善认领问答加密与内容治理；在网页版稳定后开发微信小程序，并视主体资质落实情况开启身份核验。同时把枣庄学到的“线索必须能办结”继续写进产品：匹配结果要能被理解，认领过程要能被追溯，归还要形成闭环。</w:t>
      </w:r>
    </w:p>
    <w:p w14:paraId="02C38A24">
      <w:pPr>
        <w:spacing w:before="240" w:after="120" w:line="336" w:lineRule="auto"/>
        <w:ind w:firstLine="0"/>
        <w:jc w:val="left"/>
      </w:pPr>
      <w:r>
        <w:rPr>
          <w:rFonts w:ascii="黑体" w:hAnsi="黑体" w:eastAsia="黑体"/>
          <w:b/>
          <w:sz w:val="28"/>
        </w:rPr>
        <w:t>七、结语</w:t>
      </w:r>
    </w:p>
    <w:p w14:paraId="1D34B81A"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四十余天里，团队既在动力谷看见无人机如何巡查一座城，也把失物招领做成可运行的系统。感谢枣庄低空经济相关岗位的接纳与指导，感谢伍琳玲老师，感谢学校和书院提供的实践平台。Aimback仍处于试点前夜，但方向已经清楚：让信息低成本流动，让善意被看见，让失物有归处。如果你在校园里捡到了东西，欢迎随手一拍；如果你正在寻找丢失的物品，也欢迎来描述特征。让物品回家，可能只差一个被人看到的机会。青春的分量，不在口号，而在把一件对的小事做完、做好、做负责。</w:t>
      </w:r>
    </w:p>
    <w:p w14:paraId="2979463F">
      <w:r>
        <w:rPr>
          <w:rFonts w:ascii="Times New Roman" w:hAnsi="Times New Roman" w:eastAsia="黑体"/>
          <w:b/>
          <w:sz w:val="24"/>
        </w:rPr>
        <w:t>附录：实践材料链接</w:t>
      </w:r>
    </w:p>
    <w:p w14:paraId="44E116A3">
      <w:r>
        <w:rPr>
          <w:b/>
        </w:rPr>
        <w:t>实践短视频（不少于2分钟）：</w:t>
      </w:r>
      <w:r>
        <w:t>金山文档 202609_01_Aimback，https://365.kdocs.cn/folder/clVk21dSR6gp</w:t>
      </w:r>
    </w:p>
    <w:p w14:paraId="16AB02A4">
      <w:r>
        <w:rPr>
          <w:b/>
        </w:rPr>
        <w:t>全部总结材料打包（含报告、视频等）：</w:t>
      </w:r>
      <w:r>
        <w:t>金山文档 202609_01_Aimback，https://365.kdocs.cn/folder/clVk21dSR6gp</w:t>
      </w:r>
    </w:p>
    <w:p w14:paraId="0E65603F">
      <w:r>
        <w:rPr>
          <w:b/>
        </w:rPr>
        <w:t>风采展示微信推文链接：</w:t>
      </w:r>
      <w:r>
        <w:t>【待填：推文发布后补充链接】</w:t>
      </w:r>
    </w:p>
    <w:sectPr>
      <w:pgSz w:w="11906" w:h="16838"/>
      <w:pgMar w:top="1417" w:right="1474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80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3929</Words>
  <Characters>4207</Characters>
  <Lines>0</Lines>
  <Paragraphs>0</Paragraphs>
  <TotalTime>1</TotalTime>
  <ScaleCrop>false</ScaleCrop>
  <LinksUpToDate>false</LinksUpToDate>
  <CharactersWithSpaces>4230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孙文博</cp:lastModifiedBy>
  <dcterms:modified xsi:type="dcterms:W3CDTF">2026-09-16T13:28:52Z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eyJoZGlkIjoiMzczMDdmYmM1OGVlNmJiNDVhOTFmZWZlNjdiNTI5NTEiLCJ1c2VySWQiOiIxNzMxODgwMzM2In0=</vt:lpwstr>
  </property>
  <property fmtid="{D5CDD505-2E9C-101B-9397-08002B2CF9AE}" pid="3" name="KSOProductBuildVer">
    <vt:lpwstr>2052-12.1.0.23542</vt:lpwstr>
  </property>
  <property fmtid="{D5CDD505-2E9C-101B-9397-08002B2CF9AE}" pid="4" name="ICV">
    <vt:lpwstr>CDE3F214746A482788CB1E530B909A96_12</vt:lpwstr>
  </property>
</Properties>
</file>