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10A9" w14:textId="77777777" w:rsidR="00E665DB" w:rsidRPr="00E665DB" w:rsidRDefault="00E665DB" w:rsidP="00E665DB">
      <w:pPr>
        <w:rPr>
          <w:b/>
          <w:bCs/>
          <w:u w:val="single"/>
        </w:rPr>
      </w:pPr>
      <w:r w:rsidRPr="00E665DB">
        <w:rPr>
          <w:b/>
          <w:bCs/>
          <w:u w:val="single"/>
        </w:rPr>
        <w:t>Objective:</w:t>
      </w:r>
    </w:p>
    <w:p w14:paraId="41D3FFDB" w14:textId="22F8465C" w:rsidR="00E665DB" w:rsidRPr="00E665DB" w:rsidRDefault="00E665DB" w:rsidP="00E665DB">
      <w:r w:rsidRPr="00E665DB">
        <w:t xml:space="preserve">To propose the development of a mobile application platform outside the current group-native </w:t>
      </w:r>
      <w:r>
        <w:t>platform</w:t>
      </w:r>
      <w:r w:rsidRPr="00E665DB">
        <w:t xml:space="preserve"> (iOS/Android), leveraging Flutter and modern tools to accelerate delivery, enhance flexibility, and maintain alignment with group-wide standards.</w:t>
      </w:r>
    </w:p>
    <w:p w14:paraId="7D0B53F0" w14:textId="77777777" w:rsidR="00E665DB" w:rsidRPr="00E665DB" w:rsidRDefault="00E665DB" w:rsidP="00E665DB"/>
    <w:p w14:paraId="36A02728" w14:textId="77777777" w:rsidR="00E665DB" w:rsidRPr="00E665DB" w:rsidRDefault="00E665DB" w:rsidP="00E665DB">
      <w:pPr>
        <w:rPr>
          <w:b/>
          <w:bCs/>
        </w:rPr>
      </w:pPr>
      <w:r w:rsidRPr="00E665DB">
        <w:rPr>
          <w:b/>
          <w:bCs/>
        </w:rPr>
        <w:t>1. Speed to Market</w:t>
      </w:r>
    </w:p>
    <w:p w14:paraId="390B04DF" w14:textId="29F416B1" w:rsidR="00E665DB" w:rsidRPr="00E665DB" w:rsidRDefault="00E665DB" w:rsidP="00E665DB">
      <w:r w:rsidRPr="00E665DB">
        <w:t>Building outside the native group platform allows the team to rapidly prototype, develop, and deploy mobile applications. Flutter’s cross-platform capability enables simultaneous development for iOS and Android from a single codebase, reducing time-to-market and enabling faster response to customer needs and business opportunities.</w:t>
      </w:r>
      <w:r>
        <w:t xml:space="preserve"> </w:t>
      </w:r>
    </w:p>
    <w:p w14:paraId="76C6A298" w14:textId="77777777" w:rsidR="00E665DB" w:rsidRPr="00E665DB" w:rsidRDefault="00E665DB" w:rsidP="00E665DB"/>
    <w:p w14:paraId="3D589B47" w14:textId="77777777" w:rsidR="00E665DB" w:rsidRPr="00E665DB" w:rsidRDefault="00E665DB" w:rsidP="00E665DB">
      <w:pPr>
        <w:rPr>
          <w:b/>
          <w:bCs/>
        </w:rPr>
      </w:pPr>
      <w:r w:rsidRPr="00E665DB">
        <w:rPr>
          <w:b/>
          <w:bCs/>
        </w:rPr>
        <w:t>2. Talent Utilisation and Flexibility</w:t>
      </w:r>
    </w:p>
    <w:p w14:paraId="0A6717C1" w14:textId="25C7529D" w:rsidR="00E96E0C" w:rsidRDefault="00E665DB" w:rsidP="00E96E0C">
      <w:r w:rsidRPr="00E665DB">
        <w:t xml:space="preserve">This approach allows </w:t>
      </w:r>
      <w:r>
        <w:t>us to l</w:t>
      </w:r>
      <w:r w:rsidRPr="00E665DB">
        <w:t>everage existing internal skills (including Flutter and cross-platform expertise)</w:t>
      </w:r>
      <w:r w:rsidR="00E96E0C">
        <w:t xml:space="preserve"> and reduce the dependency with the OML Mobile Application Platform team and the OMAR data platform teams. </w:t>
      </w:r>
      <w:r w:rsidRPr="00E665DB">
        <w:t>Augment</w:t>
      </w:r>
      <w:r w:rsidR="00E96E0C">
        <w:t>ing internal</w:t>
      </w:r>
      <w:r w:rsidRPr="00E665DB">
        <w:t xml:space="preserve"> capacity with external partners </w:t>
      </w:r>
      <w:r w:rsidR="00E96E0C">
        <w:t xml:space="preserve">is easy to manage as getting access to Flutter developers is much easier compared to getting Native Android and iOS developers. Native developers for iOS/Android are scarce to find in Zimbabwe market and the cost of getting them on board is higher. </w:t>
      </w:r>
    </w:p>
    <w:p w14:paraId="18ED4BD4" w14:textId="04793A98" w:rsidR="00E96E0C" w:rsidRPr="00E665DB" w:rsidRDefault="000F0946" w:rsidP="00E96E0C">
      <w:pPr>
        <w:rPr>
          <w:b/>
          <w:bCs/>
        </w:rPr>
      </w:pPr>
      <w:r>
        <w:rPr>
          <w:b/>
          <w:bCs/>
        </w:rPr>
        <w:t xml:space="preserve">3. </w:t>
      </w:r>
      <w:r w:rsidR="00AD3E04">
        <w:rPr>
          <w:b/>
          <w:bCs/>
        </w:rPr>
        <w:t xml:space="preserve">SSO and Omni-Channel Experience </w:t>
      </w:r>
      <w:r w:rsidR="00E96E0C" w:rsidRPr="00E96E0C">
        <w:rPr>
          <w:b/>
          <w:bCs/>
        </w:rPr>
        <w:t>Considerations:</w:t>
      </w:r>
    </w:p>
    <w:p w14:paraId="1460BB90" w14:textId="0DC84B4D" w:rsidR="00E665DB" w:rsidRPr="00E665DB" w:rsidRDefault="00E665DB" w:rsidP="00E665DB">
      <w:r w:rsidRPr="00E665DB">
        <w:t>We recognise the importance of seamless customer journeys and unified identity across all digital touchpoints</w:t>
      </w:r>
      <w:r w:rsidR="00AD3E04">
        <w:t xml:space="preserve"> which </w:t>
      </w:r>
      <w:proofErr w:type="gramStart"/>
      <w:r w:rsidR="00AD3E04">
        <w:t>is</w:t>
      </w:r>
      <w:proofErr w:type="gramEnd"/>
      <w:r w:rsidR="00AD3E04">
        <w:t xml:space="preserve"> one of the key benefits that building on the OML platform was going to assist with through PING integration</w:t>
      </w:r>
      <w:r w:rsidRPr="00E665DB">
        <w:t>. To ensure th</w:t>
      </w:r>
      <w:r w:rsidR="00AD3E04">
        <w:t xml:space="preserve">at </w:t>
      </w:r>
      <w:r w:rsidR="000F0946">
        <w:t xml:space="preserve">we </w:t>
      </w:r>
      <w:r w:rsidR="002B4426">
        <w:t>remain</w:t>
      </w:r>
      <w:r w:rsidR="000F0946">
        <w:t xml:space="preserve"> aligned to that strategy we are proposing </w:t>
      </w:r>
      <w:r w:rsidRPr="00E665DB">
        <w:t>adopting AWS Cognito as the unified authentication layer</w:t>
      </w:r>
      <w:r w:rsidR="000F0946">
        <w:t xml:space="preserve"> for both Secure Web and Group App channel and extend it to the group digital channels in an iterative approach. We have done </w:t>
      </w:r>
      <w:proofErr w:type="gramStart"/>
      <w:r w:rsidR="000F0946">
        <w:t>a research</w:t>
      </w:r>
      <w:proofErr w:type="gramEnd"/>
      <w:r w:rsidR="000F0946">
        <w:t xml:space="preserve"> on AWS Cognito and its currently supported in our current AWS environment and t</w:t>
      </w:r>
      <w:r w:rsidRPr="00E665DB">
        <w:t>his solution provides scalability, security, and extensibility, positioning us to deliver an omnichannel experience that aligns with group strategy.</w:t>
      </w:r>
    </w:p>
    <w:p w14:paraId="47D5AD91" w14:textId="47C1EC7F" w:rsidR="00E665DB" w:rsidRPr="00E665DB" w:rsidRDefault="000F0946" w:rsidP="00E665DB">
      <w:pPr>
        <w:rPr>
          <w:b/>
          <w:bCs/>
        </w:rPr>
      </w:pPr>
      <w:r>
        <w:rPr>
          <w:b/>
          <w:bCs/>
        </w:rPr>
        <w:t xml:space="preserve">4. </w:t>
      </w:r>
      <w:r w:rsidR="00E665DB" w:rsidRPr="00E665DB">
        <w:rPr>
          <w:b/>
          <w:bCs/>
        </w:rPr>
        <w:t>AWS Cognito</w:t>
      </w:r>
      <w:r w:rsidRPr="000F0946">
        <w:rPr>
          <w:b/>
          <w:bCs/>
        </w:rPr>
        <w:t xml:space="preserve"> Costs</w:t>
      </w:r>
    </w:p>
    <w:p w14:paraId="6B70778E" w14:textId="0B3ACB5C" w:rsidR="00E665DB" w:rsidRDefault="00E665DB" w:rsidP="00E665DB">
      <w:r w:rsidRPr="00E665DB">
        <w:t>Offers a pay-as-you-go model, typically free for the first 50,000 monthly active users (MAUs), with low incremental costs thereafter. It eliminates the need for building and maintaining a custom identity platform, providing cost-effective scalability.</w:t>
      </w:r>
      <w:r w:rsidR="00015499">
        <w:t xml:space="preserve"> [See table below for pricing]</w:t>
      </w:r>
    </w:p>
    <w:p w14:paraId="466C9998" w14:textId="4F4D2832" w:rsidR="002B4426" w:rsidRDefault="002B4426" w:rsidP="00E665DB"/>
    <w:p w14:paraId="5E0BE70B" w14:textId="36D5AB33" w:rsidR="002B4426" w:rsidRPr="00E33D7F" w:rsidRDefault="002B4426" w:rsidP="00E665DB">
      <w:pPr>
        <w:rPr>
          <w:b/>
          <w:bCs/>
        </w:rPr>
      </w:pPr>
      <w:r w:rsidRPr="00E33D7F">
        <w:rPr>
          <w:b/>
          <w:bCs/>
        </w:rPr>
        <w:t>SNS</w:t>
      </w:r>
    </w:p>
    <w:p w14:paraId="3E15A323" w14:textId="72763125" w:rsidR="002B4426" w:rsidRPr="00E33D7F" w:rsidRDefault="00E33D7F" w:rsidP="00E665DB">
      <w:r w:rsidRPr="00E33D7F">
        <w:t>AWS charges $0.25091 per SMS</w:t>
      </w:r>
      <w:r>
        <w:t xml:space="preserve"> to Zimbabwe</w:t>
      </w:r>
      <w:r w:rsidRPr="00E33D7F">
        <w:t>, resulting in a total cost of $125,455 for user registration.</w:t>
      </w:r>
      <w:r w:rsidRPr="00E33D7F">
        <w:br/>
        <w:t>For password resets, assuming 10% of users change their password, the cost is $12,545.</w:t>
      </w:r>
      <w:r w:rsidRPr="00E33D7F">
        <w:br/>
        <w:t>Total estimated cost: $138,000.</w:t>
      </w:r>
    </w:p>
    <w:p w14:paraId="54A76FAE" w14:textId="57FD8D88" w:rsidR="00E665DB" w:rsidRDefault="00E665DB" w:rsidP="00E665DB"/>
    <w:p w14:paraId="3EAA3637" w14:textId="22EEA291" w:rsidR="002B4426" w:rsidRDefault="002B4426" w:rsidP="00E665DB"/>
    <w:p w14:paraId="4007CAD5" w14:textId="238D0378" w:rsidR="002B4426" w:rsidRDefault="002B4426" w:rsidP="002B4426">
      <w:pPr>
        <w:rPr>
          <w:b/>
          <w:bCs/>
        </w:rPr>
        <w:sectPr w:rsidR="002B4426" w:rsidSect="002B4426">
          <w:headerReference w:type="even" r:id="rId7"/>
          <w:headerReference w:type="default" r:id="rId8"/>
          <w:headerReference w:type="first" r:id="rId9"/>
          <w:pgSz w:w="11906" w:h="16838"/>
          <w:pgMar w:top="1440" w:right="1440" w:bottom="1440" w:left="1440" w:header="708" w:footer="708" w:gutter="0"/>
          <w:cols w:space="708"/>
          <w:docGrid w:linePitch="360"/>
        </w:sectPr>
      </w:pPr>
    </w:p>
    <w:p w14:paraId="5A9D0F1C" w14:textId="1718D52B" w:rsidR="002B4426" w:rsidRDefault="00E33D7F" w:rsidP="000F0946">
      <w:pPr>
        <w:jc w:val="center"/>
        <w:rPr>
          <w:b/>
          <w:bCs/>
        </w:rPr>
      </w:pPr>
      <w:r w:rsidRPr="00E33D7F">
        <w:rPr>
          <w:b/>
          <w:bCs/>
          <w:noProof/>
        </w:rPr>
        <w:lastRenderedPageBreak/>
        <w:drawing>
          <wp:inline distT="0" distB="0" distL="0" distR="0" wp14:anchorId="2EB680DA" wp14:editId="0AF0F448">
            <wp:extent cx="8863330" cy="478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785360"/>
                    </a:xfrm>
                    <a:prstGeom prst="rect">
                      <a:avLst/>
                    </a:prstGeom>
                  </pic:spPr>
                </pic:pic>
              </a:graphicData>
            </a:graphic>
          </wp:inline>
        </w:drawing>
      </w:r>
    </w:p>
    <w:p w14:paraId="5FFF34F6" w14:textId="5C9FB3B5" w:rsidR="00E33D7F" w:rsidRDefault="00E33D7F" w:rsidP="000F0946">
      <w:pPr>
        <w:jc w:val="center"/>
        <w:rPr>
          <w:b/>
          <w:bCs/>
        </w:rPr>
      </w:pPr>
    </w:p>
    <w:p w14:paraId="75BE07A2" w14:textId="1637CCBD" w:rsidR="00E33D7F" w:rsidRDefault="00E33D7F" w:rsidP="000F0946">
      <w:pPr>
        <w:jc w:val="center"/>
        <w:rPr>
          <w:b/>
          <w:bCs/>
        </w:rPr>
      </w:pPr>
    </w:p>
    <w:p w14:paraId="134D7963" w14:textId="77777777" w:rsidR="00E33D7F" w:rsidRDefault="00E33D7F" w:rsidP="00746CA7">
      <w:pPr>
        <w:rPr>
          <w:b/>
          <w:bCs/>
        </w:rPr>
      </w:pPr>
    </w:p>
    <w:p w14:paraId="29919C0C" w14:textId="77777777" w:rsidR="00746CA7" w:rsidRDefault="00746CA7" w:rsidP="000F0946">
      <w:pPr>
        <w:jc w:val="center"/>
        <w:rPr>
          <w:b/>
          <w:bCs/>
        </w:rPr>
        <w:sectPr w:rsidR="00746CA7" w:rsidSect="002B4426">
          <w:pgSz w:w="16838" w:h="11906" w:orient="landscape" w:code="9"/>
          <w:pgMar w:top="1440" w:right="1440" w:bottom="1440" w:left="1440" w:header="709" w:footer="709" w:gutter="0"/>
          <w:cols w:space="708"/>
          <w:docGrid w:linePitch="360"/>
        </w:sectPr>
      </w:pPr>
    </w:p>
    <w:p w14:paraId="641EF9C4" w14:textId="2BA4E4D5" w:rsidR="00746CA7" w:rsidRDefault="00746CA7" w:rsidP="00746CA7">
      <w:pPr>
        <w:rPr>
          <w:b/>
          <w:bCs/>
        </w:rPr>
      </w:pPr>
      <w:r w:rsidRPr="00746CA7">
        <w:rPr>
          <w:b/>
          <w:bCs/>
        </w:rPr>
        <w:lastRenderedPageBreak/>
        <w:t>Ways to optimize costs</w:t>
      </w:r>
    </w:p>
    <w:p w14:paraId="20FB2BDC" w14:textId="17240360" w:rsidR="00746CA7" w:rsidRPr="00746CA7" w:rsidRDefault="00746CA7" w:rsidP="00746CA7">
      <w:r w:rsidRPr="00746CA7">
        <w:t xml:space="preserve">To reduce costs and improve efficiency, </w:t>
      </w:r>
      <w:r>
        <w:t xml:space="preserve">we can </w:t>
      </w:r>
      <w:r w:rsidRPr="00746CA7">
        <w:t>consider the following strategies:</w:t>
      </w:r>
    </w:p>
    <w:p w14:paraId="5ECE4EBE" w14:textId="5833B4EF" w:rsidR="00746CA7" w:rsidRPr="00746CA7" w:rsidRDefault="00746CA7" w:rsidP="00746CA7">
      <w:pPr>
        <w:numPr>
          <w:ilvl w:val="0"/>
          <w:numId w:val="2"/>
        </w:numPr>
        <w:spacing w:after="0"/>
      </w:pPr>
      <w:r w:rsidRPr="00746CA7">
        <w:rPr>
          <w:b/>
          <w:bCs/>
        </w:rPr>
        <w:t>Extend Token Expiry Times:</w:t>
      </w:r>
      <w:r w:rsidRPr="00746CA7">
        <w:t xml:space="preserve"> Increase the lifespan of access tokens </w:t>
      </w:r>
      <w:r>
        <w:t xml:space="preserve">from the default </w:t>
      </w:r>
      <w:r w:rsidRPr="00746CA7">
        <w:t>to minimize the frequency of token generation.</w:t>
      </w:r>
    </w:p>
    <w:p w14:paraId="2BAFB53A" w14:textId="77777777" w:rsidR="00746CA7" w:rsidRPr="00746CA7" w:rsidRDefault="00746CA7" w:rsidP="00746CA7">
      <w:pPr>
        <w:numPr>
          <w:ilvl w:val="0"/>
          <w:numId w:val="2"/>
        </w:numPr>
        <w:spacing w:after="0"/>
      </w:pPr>
      <w:r w:rsidRPr="00746CA7">
        <w:rPr>
          <w:b/>
          <w:bCs/>
        </w:rPr>
        <w:t>Use Refresh Tokens Effectively:</w:t>
      </w:r>
      <w:r w:rsidRPr="00746CA7">
        <w:t xml:space="preserve"> Leverage refresh tokens to maintain sessions without requiring frequent re-authentication.</w:t>
      </w:r>
    </w:p>
    <w:p w14:paraId="0EC8429F" w14:textId="77777777" w:rsidR="00746CA7" w:rsidRPr="00746CA7" w:rsidRDefault="00746CA7" w:rsidP="00746CA7">
      <w:pPr>
        <w:numPr>
          <w:ilvl w:val="0"/>
          <w:numId w:val="2"/>
        </w:numPr>
        <w:spacing w:after="0"/>
      </w:pPr>
      <w:r w:rsidRPr="00746CA7">
        <w:rPr>
          <w:b/>
          <w:bCs/>
        </w:rPr>
        <w:t>Implement Token Caching:</w:t>
      </w:r>
      <w:r w:rsidRPr="00746CA7">
        <w:t xml:space="preserve"> Store tokens securely on the client side to reduce repeated requests.</w:t>
      </w:r>
    </w:p>
    <w:p w14:paraId="33B08B5B" w14:textId="77777777" w:rsidR="00746CA7" w:rsidRPr="00746CA7" w:rsidRDefault="00746CA7" w:rsidP="00746CA7">
      <w:pPr>
        <w:numPr>
          <w:ilvl w:val="0"/>
          <w:numId w:val="2"/>
        </w:numPr>
        <w:spacing w:after="0"/>
      </w:pPr>
      <w:r w:rsidRPr="00746CA7">
        <w:rPr>
          <w:b/>
          <w:bCs/>
        </w:rPr>
        <w:t>Use User Sessions Efficiently:</w:t>
      </w:r>
      <w:r w:rsidRPr="00746CA7">
        <w:t xml:space="preserve"> Manage user sessions to avoid unnecessary token renewals.</w:t>
      </w:r>
    </w:p>
    <w:p w14:paraId="16DEE160" w14:textId="49B23ECE" w:rsidR="00746CA7" w:rsidRDefault="00746CA7" w:rsidP="00746CA7">
      <w:pPr>
        <w:numPr>
          <w:ilvl w:val="0"/>
          <w:numId w:val="2"/>
        </w:numPr>
        <w:spacing w:after="0"/>
      </w:pPr>
      <w:proofErr w:type="spellStart"/>
      <w:r w:rsidRPr="00746CA7">
        <w:rPr>
          <w:b/>
          <w:bCs/>
        </w:rPr>
        <w:t>Analyze</w:t>
      </w:r>
      <w:proofErr w:type="spellEnd"/>
      <w:r w:rsidRPr="00746CA7">
        <w:rPr>
          <w:b/>
          <w:bCs/>
        </w:rPr>
        <w:t xml:space="preserve"> and Monitor Token Requests:</w:t>
      </w:r>
      <w:r w:rsidRPr="00746CA7">
        <w:t xml:space="preserve"> Regularly assess token usage patterns to identify optimization opportunities.</w:t>
      </w:r>
    </w:p>
    <w:p w14:paraId="56204F75" w14:textId="77777777" w:rsidR="00746CA7" w:rsidRPr="00746CA7" w:rsidRDefault="00746CA7" w:rsidP="00746CA7">
      <w:pPr>
        <w:spacing w:after="0"/>
        <w:ind w:left="720"/>
      </w:pPr>
    </w:p>
    <w:p w14:paraId="7F78E601" w14:textId="77777777" w:rsidR="00746CA7" w:rsidRPr="00746CA7" w:rsidRDefault="00746CA7" w:rsidP="00746CA7">
      <w:pPr>
        <w:rPr>
          <w:b/>
          <w:bCs/>
        </w:rPr>
      </w:pPr>
      <w:r w:rsidRPr="00746CA7">
        <w:t>Example Scenario:</w:t>
      </w:r>
      <w:r w:rsidRPr="00746CA7">
        <w:br/>
        <w:t>By extending the access token lifespan to 24 hours and efficiently utilizing refresh tokens, the login frequency could decrease from twice per month to once per month. This change would reduce the number</w:t>
      </w:r>
      <w:r w:rsidRPr="00746CA7">
        <w:rPr>
          <w:b/>
          <w:bCs/>
        </w:rPr>
        <w:t xml:space="preserve"> </w:t>
      </w:r>
      <w:r w:rsidRPr="00746CA7">
        <w:t>of login requests from 1,000,000 to 500,000, effectively cutting the M2M token cost by half.</w:t>
      </w:r>
    </w:p>
    <w:p w14:paraId="6FEB9984" w14:textId="4093FB74" w:rsidR="00746CA7" w:rsidRDefault="00746CA7" w:rsidP="00746CA7">
      <w:pPr>
        <w:rPr>
          <w:b/>
          <w:bCs/>
        </w:rPr>
      </w:pPr>
    </w:p>
    <w:p w14:paraId="08225BA0" w14:textId="2921AB5E" w:rsidR="00015499" w:rsidRDefault="00015499" w:rsidP="00746CA7">
      <w:pPr>
        <w:rPr>
          <w:b/>
          <w:bCs/>
        </w:rPr>
      </w:pPr>
    </w:p>
    <w:p w14:paraId="0BB80F5E" w14:textId="2F3230F0" w:rsidR="00015499" w:rsidRDefault="00015499" w:rsidP="00746CA7">
      <w:pPr>
        <w:rPr>
          <w:b/>
          <w:bCs/>
        </w:rPr>
      </w:pPr>
    </w:p>
    <w:p w14:paraId="338C2BF9" w14:textId="237FBF8F" w:rsidR="00015499" w:rsidRDefault="00015499" w:rsidP="00746CA7">
      <w:pPr>
        <w:rPr>
          <w:b/>
          <w:bCs/>
        </w:rPr>
      </w:pPr>
    </w:p>
    <w:p w14:paraId="76E48B17" w14:textId="38B8EFC3" w:rsidR="00015499" w:rsidRDefault="00015499" w:rsidP="00746CA7">
      <w:pPr>
        <w:rPr>
          <w:b/>
          <w:bCs/>
        </w:rPr>
      </w:pPr>
    </w:p>
    <w:p w14:paraId="29D2CFCD" w14:textId="177ABBA6" w:rsidR="00015499" w:rsidRDefault="00015499" w:rsidP="00746CA7">
      <w:pPr>
        <w:rPr>
          <w:b/>
          <w:bCs/>
        </w:rPr>
      </w:pPr>
    </w:p>
    <w:p w14:paraId="5A7D906B" w14:textId="1E1A2CCB" w:rsidR="00015499" w:rsidRDefault="00015499" w:rsidP="00746CA7">
      <w:pPr>
        <w:rPr>
          <w:b/>
          <w:bCs/>
        </w:rPr>
      </w:pPr>
    </w:p>
    <w:p w14:paraId="6D352C01" w14:textId="2BE60E69" w:rsidR="00015499" w:rsidRDefault="00015499" w:rsidP="00746CA7">
      <w:pPr>
        <w:rPr>
          <w:b/>
          <w:bCs/>
        </w:rPr>
      </w:pPr>
    </w:p>
    <w:p w14:paraId="33C3A94A" w14:textId="744238DF" w:rsidR="00015499" w:rsidRDefault="00015499" w:rsidP="00746CA7">
      <w:pPr>
        <w:rPr>
          <w:b/>
          <w:bCs/>
        </w:rPr>
      </w:pPr>
    </w:p>
    <w:p w14:paraId="2B8CBDAC" w14:textId="5155304C" w:rsidR="00015499" w:rsidRDefault="00015499" w:rsidP="00746CA7">
      <w:pPr>
        <w:rPr>
          <w:b/>
          <w:bCs/>
        </w:rPr>
      </w:pPr>
    </w:p>
    <w:p w14:paraId="4C2AB205" w14:textId="1CFC3E90" w:rsidR="00015499" w:rsidRDefault="00015499" w:rsidP="00746CA7">
      <w:pPr>
        <w:rPr>
          <w:b/>
          <w:bCs/>
        </w:rPr>
      </w:pPr>
    </w:p>
    <w:p w14:paraId="13F8DE80" w14:textId="4D7C9337" w:rsidR="00015499" w:rsidRDefault="00015499" w:rsidP="00746CA7">
      <w:pPr>
        <w:rPr>
          <w:b/>
          <w:bCs/>
        </w:rPr>
      </w:pPr>
    </w:p>
    <w:p w14:paraId="3F288018" w14:textId="0FC6EDC4" w:rsidR="00015499" w:rsidRDefault="00015499" w:rsidP="00746CA7">
      <w:pPr>
        <w:rPr>
          <w:b/>
          <w:bCs/>
        </w:rPr>
      </w:pPr>
    </w:p>
    <w:p w14:paraId="5D9C31E5" w14:textId="4C331926" w:rsidR="00015499" w:rsidRDefault="00015499" w:rsidP="00746CA7">
      <w:pPr>
        <w:rPr>
          <w:b/>
          <w:bCs/>
        </w:rPr>
      </w:pPr>
    </w:p>
    <w:p w14:paraId="5F58A36A" w14:textId="668206D3" w:rsidR="00015499" w:rsidRDefault="00015499" w:rsidP="00746CA7">
      <w:pPr>
        <w:rPr>
          <w:b/>
          <w:bCs/>
        </w:rPr>
      </w:pPr>
    </w:p>
    <w:p w14:paraId="254CCD62" w14:textId="0E6FDE54" w:rsidR="00015499" w:rsidRDefault="00015499" w:rsidP="00746CA7">
      <w:pPr>
        <w:rPr>
          <w:b/>
          <w:bCs/>
        </w:rPr>
      </w:pPr>
    </w:p>
    <w:p w14:paraId="74B0F90E" w14:textId="444F854C" w:rsidR="00015499" w:rsidRDefault="00015499" w:rsidP="00746CA7">
      <w:pPr>
        <w:rPr>
          <w:b/>
          <w:bCs/>
        </w:rPr>
      </w:pPr>
    </w:p>
    <w:p w14:paraId="39B98E26" w14:textId="1E8F23F8" w:rsidR="00015499" w:rsidRDefault="00015499" w:rsidP="00746CA7">
      <w:pPr>
        <w:rPr>
          <w:b/>
          <w:bCs/>
        </w:rPr>
      </w:pPr>
    </w:p>
    <w:p w14:paraId="7463A49A" w14:textId="77777777" w:rsidR="00015499" w:rsidRDefault="00015499" w:rsidP="00746CA7">
      <w:pPr>
        <w:rPr>
          <w:b/>
          <w:bCs/>
        </w:rPr>
      </w:pPr>
    </w:p>
    <w:p w14:paraId="6378D79C" w14:textId="77777777" w:rsidR="00F341EF" w:rsidRPr="000F0946" w:rsidRDefault="000F0946" w:rsidP="000F0946">
      <w:pPr>
        <w:jc w:val="center"/>
        <w:rPr>
          <w:b/>
          <w:bCs/>
        </w:rPr>
      </w:pPr>
      <w:r>
        <w:rPr>
          <w:b/>
          <w:bCs/>
        </w:rPr>
        <w:t>END</w:t>
      </w:r>
    </w:p>
    <w:sectPr w:rsidR="00F341EF" w:rsidRPr="000F0946" w:rsidSect="00746CA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799A5" w14:textId="77777777" w:rsidR="00DC0268" w:rsidRDefault="00DC0268" w:rsidP="000F0946">
      <w:pPr>
        <w:spacing w:after="0" w:line="240" w:lineRule="auto"/>
      </w:pPr>
      <w:r>
        <w:separator/>
      </w:r>
    </w:p>
  </w:endnote>
  <w:endnote w:type="continuationSeparator" w:id="0">
    <w:p w14:paraId="6202260B" w14:textId="77777777" w:rsidR="00DC0268" w:rsidRDefault="00DC0268" w:rsidP="000F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B02C9" w14:textId="77777777" w:rsidR="00DC0268" w:rsidRDefault="00DC0268" w:rsidP="000F0946">
      <w:pPr>
        <w:spacing w:after="0" w:line="240" w:lineRule="auto"/>
      </w:pPr>
      <w:r>
        <w:separator/>
      </w:r>
    </w:p>
  </w:footnote>
  <w:footnote w:type="continuationSeparator" w:id="0">
    <w:p w14:paraId="20D2DFAA" w14:textId="77777777" w:rsidR="00DC0268" w:rsidRDefault="00DC0268" w:rsidP="000F0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48CB3" w14:textId="064A5598" w:rsidR="000F0946" w:rsidRDefault="000F0946">
    <w:pPr>
      <w:pStyle w:val="Header"/>
    </w:pPr>
    <w:r>
      <w:rPr>
        <w:noProof/>
      </w:rPr>
      <mc:AlternateContent>
        <mc:Choice Requires="wps">
          <w:drawing>
            <wp:anchor distT="0" distB="0" distL="0" distR="0" simplePos="0" relativeHeight="251659264" behindDoc="0" locked="0" layoutInCell="1" allowOverlap="1" wp14:anchorId="6CC25938" wp14:editId="7AE2F65C">
              <wp:simplePos x="635" y="635"/>
              <wp:positionH relativeFrom="page">
                <wp:align>right</wp:align>
              </wp:positionH>
              <wp:positionV relativeFrom="page">
                <wp:align>top</wp:align>
              </wp:positionV>
              <wp:extent cx="1571625" cy="391160"/>
              <wp:effectExtent l="0" t="0" r="0" b="8890"/>
              <wp:wrapNone/>
              <wp:docPr id="1004691308" name="Text Box 2" descr="Controlled Disclosur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71625" cy="391160"/>
                      </a:xfrm>
                      <a:prstGeom prst="rect">
                        <a:avLst/>
                      </a:prstGeom>
                      <a:noFill/>
                      <a:ln>
                        <a:noFill/>
                      </a:ln>
                    </wps:spPr>
                    <wps:txbx>
                      <w:txbxContent>
                        <w:p w14:paraId="4C7E9F55" w14:textId="30B34F9B" w:rsidR="000F0946" w:rsidRPr="000F0946" w:rsidRDefault="000F0946" w:rsidP="000F0946">
                          <w:pPr>
                            <w:spacing w:after="0"/>
                            <w:rPr>
                              <w:rFonts w:ascii="Calibri" w:eastAsia="Calibri" w:hAnsi="Calibri" w:cs="Calibri"/>
                              <w:noProof/>
                              <w:color w:val="000000"/>
                              <w:sz w:val="24"/>
                              <w:szCs w:val="24"/>
                            </w:rPr>
                          </w:pPr>
                          <w:r w:rsidRPr="000F0946">
                            <w:rPr>
                              <w:rFonts w:ascii="Calibri" w:eastAsia="Calibri" w:hAnsi="Calibri" w:cs="Calibri"/>
                              <w:noProof/>
                              <w:color w:val="000000"/>
                              <w:sz w:val="24"/>
                              <w:szCs w:val="24"/>
                            </w:rPr>
                            <w:t>Controlled Disclosure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CC25938" id="_x0000_t202" coordsize="21600,21600" o:spt="202" path="m,l,21600r21600,l21600,xe">
              <v:stroke joinstyle="miter"/>
              <v:path gradientshapeok="t" o:connecttype="rect"/>
            </v:shapetype>
            <v:shape id="Text Box 2" o:spid="_x0000_s1026" type="#_x0000_t202" alt="Controlled Disclosure" style="position:absolute;margin-left:72.55pt;margin-top:0;width:123.75pt;height:30.8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" filled="f" stroked="f">
              <v:textbox style="mso-fit-shape-to-text:t" inset="0,15pt,20pt,0">
                <w:txbxContent>
                  <w:p w14:paraId="4C7E9F55" w14:textId="30B34F9B" w:rsidR="000F0946" w:rsidRPr="000F0946" w:rsidRDefault="000F0946" w:rsidP="000F0946">
                    <w:pPr>
                      <w:spacing w:after="0"/>
                      <w:rPr>
                        <w:rFonts w:ascii="Calibri" w:eastAsia="Calibri" w:hAnsi="Calibri" w:cs="Calibri"/>
                        <w:noProof/>
                        <w:color w:val="000000"/>
                        <w:sz w:val="24"/>
                        <w:szCs w:val="24"/>
                      </w:rPr>
                    </w:pPr>
                    <w:r w:rsidRPr="000F0946">
                      <w:rPr>
                        <w:rFonts w:ascii="Calibri" w:eastAsia="Calibri" w:hAnsi="Calibri" w:cs="Calibri"/>
                        <w:noProof/>
                        <w:color w:val="000000"/>
                        <w:sz w:val="24"/>
                        <w:szCs w:val="24"/>
                      </w:rPr>
                      <w:t>Controlled Disclosure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C6035" w14:textId="02844284" w:rsidR="000F0946" w:rsidRDefault="000F0946">
    <w:pPr>
      <w:pStyle w:val="Header"/>
    </w:pPr>
    <w:r>
      <w:rPr>
        <w:noProof/>
      </w:rPr>
      <mc:AlternateContent>
        <mc:Choice Requires="wps">
          <w:drawing>
            <wp:anchor distT="0" distB="0" distL="0" distR="0" simplePos="0" relativeHeight="251660288" behindDoc="0" locked="0" layoutInCell="1" allowOverlap="1" wp14:anchorId="26F86F49" wp14:editId="3447F062">
              <wp:simplePos x="914400" y="449580"/>
              <wp:positionH relativeFrom="page">
                <wp:align>right</wp:align>
              </wp:positionH>
              <wp:positionV relativeFrom="page">
                <wp:align>top</wp:align>
              </wp:positionV>
              <wp:extent cx="1571625" cy="391160"/>
              <wp:effectExtent l="0" t="0" r="0" b="8890"/>
              <wp:wrapNone/>
              <wp:docPr id="1089379511" name="Text Box 3" descr="Controlled Disclosur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71625" cy="391160"/>
                      </a:xfrm>
                      <a:prstGeom prst="rect">
                        <a:avLst/>
                      </a:prstGeom>
                      <a:noFill/>
                      <a:ln>
                        <a:noFill/>
                      </a:ln>
                    </wps:spPr>
                    <wps:txbx>
                      <w:txbxContent>
                        <w:p w14:paraId="1B703E6C" w14:textId="3C176FAE" w:rsidR="000F0946" w:rsidRPr="000F0946" w:rsidRDefault="000F0946" w:rsidP="000F0946">
                          <w:pPr>
                            <w:spacing w:after="0"/>
                            <w:rPr>
                              <w:rFonts w:ascii="Calibri" w:eastAsia="Calibri" w:hAnsi="Calibri" w:cs="Calibri"/>
                              <w:noProof/>
                              <w:color w:val="000000"/>
                              <w:sz w:val="24"/>
                              <w:szCs w:val="24"/>
                            </w:rPr>
                          </w:pPr>
                          <w:r w:rsidRPr="000F0946">
                            <w:rPr>
                              <w:rFonts w:ascii="Calibri" w:eastAsia="Calibri" w:hAnsi="Calibri" w:cs="Calibri"/>
                              <w:noProof/>
                              <w:color w:val="000000"/>
                              <w:sz w:val="24"/>
                              <w:szCs w:val="24"/>
                            </w:rPr>
                            <w:t>Controlled Disclosure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6F86F49" id="_x0000_t202" coordsize="21600,21600" o:spt="202" path="m,l,21600r21600,l21600,xe">
              <v:stroke joinstyle="miter"/>
              <v:path gradientshapeok="t" o:connecttype="rect"/>
            </v:shapetype>
            <v:shape id="Text Box 3" o:spid="_x0000_s1027" type="#_x0000_t202" alt="Controlled Disclosure" style="position:absolute;margin-left:72.55pt;margin-top:0;width:123.75pt;height:30.8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" filled="f" stroked="f">
              <v:textbox style="mso-fit-shape-to-text:t" inset="0,15pt,20pt,0">
                <w:txbxContent>
                  <w:p w14:paraId="1B703E6C" w14:textId="3C176FAE" w:rsidR="000F0946" w:rsidRPr="000F0946" w:rsidRDefault="000F0946" w:rsidP="000F0946">
                    <w:pPr>
                      <w:spacing w:after="0"/>
                      <w:rPr>
                        <w:rFonts w:ascii="Calibri" w:eastAsia="Calibri" w:hAnsi="Calibri" w:cs="Calibri"/>
                        <w:noProof/>
                        <w:color w:val="000000"/>
                        <w:sz w:val="24"/>
                        <w:szCs w:val="24"/>
                      </w:rPr>
                    </w:pPr>
                    <w:r w:rsidRPr="000F0946">
                      <w:rPr>
                        <w:rFonts w:ascii="Calibri" w:eastAsia="Calibri" w:hAnsi="Calibri" w:cs="Calibri"/>
                        <w:noProof/>
                        <w:color w:val="000000"/>
                        <w:sz w:val="24"/>
                        <w:szCs w:val="24"/>
                      </w:rPr>
                      <w:t>Controlled Disclosure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4E4F" w14:textId="47FEF343" w:rsidR="000F0946" w:rsidRDefault="000F0946">
    <w:pPr>
      <w:pStyle w:val="Header"/>
    </w:pPr>
    <w:r>
      <w:rPr>
        <w:noProof/>
      </w:rPr>
      <mc:AlternateContent>
        <mc:Choice Requires="wps">
          <w:drawing>
            <wp:anchor distT="0" distB="0" distL="0" distR="0" simplePos="0" relativeHeight="251658240" behindDoc="0" locked="0" layoutInCell="1" allowOverlap="1" wp14:anchorId="1AC7390B" wp14:editId="3FBBFCD8">
              <wp:simplePos x="635" y="635"/>
              <wp:positionH relativeFrom="page">
                <wp:align>right</wp:align>
              </wp:positionH>
              <wp:positionV relativeFrom="page">
                <wp:align>top</wp:align>
              </wp:positionV>
              <wp:extent cx="1571625" cy="391160"/>
              <wp:effectExtent l="0" t="0" r="0" b="8890"/>
              <wp:wrapNone/>
              <wp:docPr id="466814547" name="Text Box 1" descr="Controlled Disclosur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71625" cy="391160"/>
                      </a:xfrm>
                      <a:prstGeom prst="rect">
                        <a:avLst/>
                      </a:prstGeom>
                      <a:noFill/>
                      <a:ln>
                        <a:noFill/>
                      </a:ln>
                    </wps:spPr>
                    <wps:txbx>
                      <w:txbxContent>
                        <w:p w14:paraId="16DCF903" w14:textId="3649B485" w:rsidR="000F0946" w:rsidRPr="000F0946" w:rsidRDefault="000F0946" w:rsidP="000F0946">
                          <w:pPr>
                            <w:spacing w:after="0"/>
                            <w:rPr>
                              <w:rFonts w:ascii="Calibri" w:eastAsia="Calibri" w:hAnsi="Calibri" w:cs="Calibri"/>
                              <w:noProof/>
                              <w:color w:val="000000"/>
                              <w:sz w:val="24"/>
                              <w:szCs w:val="24"/>
                            </w:rPr>
                          </w:pPr>
                          <w:r w:rsidRPr="000F0946">
                            <w:rPr>
                              <w:rFonts w:ascii="Calibri" w:eastAsia="Calibri" w:hAnsi="Calibri" w:cs="Calibri"/>
                              <w:noProof/>
                              <w:color w:val="000000"/>
                              <w:sz w:val="24"/>
                              <w:szCs w:val="24"/>
                            </w:rPr>
                            <w:t>Controlled Disclosure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AC7390B" id="_x0000_t202" coordsize="21600,21600" o:spt="202" path="m,l,21600r21600,l21600,xe">
              <v:stroke joinstyle="miter"/>
              <v:path gradientshapeok="t" o:connecttype="rect"/>
            </v:shapetype>
            <v:shape id="Text Box 1" o:spid="_x0000_s1028" type="#_x0000_t202" alt="Controlled Disclosure" style="position:absolute;margin-left:72.55pt;margin-top:0;width:123.75pt;height:30.8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" filled="f" stroked="f">
              <v:textbox style="mso-fit-shape-to-text:t" inset="0,15pt,20pt,0">
                <w:txbxContent>
                  <w:p w14:paraId="16DCF903" w14:textId="3649B485" w:rsidR="000F0946" w:rsidRPr="000F0946" w:rsidRDefault="000F0946" w:rsidP="000F0946">
                    <w:pPr>
                      <w:spacing w:after="0"/>
                      <w:rPr>
                        <w:rFonts w:ascii="Calibri" w:eastAsia="Calibri" w:hAnsi="Calibri" w:cs="Calibri"/>
                        <w:noProof/>
                        <w:color w:val="000000"/>
                        <w:sz w:val="24"/>
                        <w:szCs w:val="24"/>
                      </w:rPr>
                    </w:pPr>
                    <w:r w:rsidRPr="000F0946">
                      <w:rPr>
                        <w:rFonts w:ascii="Calibri" w:eastAsia="Calibri" w:hAnsi="Calibri" w:cs="Calibri"/>
                        <w:noProof/>
                        <w:color w:val="000000"/>
                        <w:sz w:val="24"/>
                        <w:szCs w:val="24"/>
                      </w:rPr>
                      <w:t>Controlled Disclosure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E31FD"/>
    <w:multiLevelType w:val="multilevel"/>
    <w:tmpl w:val="C46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0658D"/>
    <w:multiLevelType w:val="hybridMultilevel"/>
    <w:tmpl w:val="0D0CD6D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DB"/>
    <w:rsid w:val="00015499"/>
    <w:rsid w:val="000F0946"/>
    <w:rsid w:val="00146959"/>
    <w:rsid w:val="002B4426"/>
    <w:rsid w:val="00544384"/>
    <w:rsid w:val="0055004B"/>
    <w:rsid w:val="00746CA7"/>
    <w:rsid w:val="007E27A2"/>
    <w:rsid w:val="00AD3E04"/>
    <w:rsid w:val="00B345EC"/>
    <w:rsid w:val="00DC0268"/>
    <w:rsid w:val="00DD0290"/>
    <w:rsid w:val="00E33D7F"/>
    <w:rsid w:val="00E41F31"/>
    <w:rsid w:val="00E665DB"/>
    <w:rsid w:val="00E96E0C"/>
    <w:rsid w:val="00F341E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7A4D"/>
  <w15:chartTrackingRefBased/>
  <w15:docId w15:val="{6D411933-15A9-457D-99CC-825214DF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5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5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5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5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5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5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5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5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5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5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5DB"/>
    <w:rPr>
      <w:rFonts w:eastAsiaTheme="majorEastAsia" w:cstheme="majorBidi"/>
      <w:color w:val="272727" w:themeColor="text1" w:themeTint="D8"/>
    </w:rPr>
  </w:style>
  <w:style w:type="paragraph" w:styleId="Title">
    <w:name w:val="Title"/>
    <w:basedOn w:val="Normal"/>
    <w:next w:val="Normal"/>
    <w:link w:val="TitleChar"/>
    <w:uiPriority w:val="10"/>
    <w:qFormat/>
    <w:rsid w:val="00E66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5DB"/>
    <w:pPr>
      <w:spacing w:before="160"/>
      <w:jc w:val="center"/>
    </w:pPr>
    <w:rPr>
      <w:i/>
      <w:iCs/>
      <w:color w:val="404040" w:themeColor="text1" w:themeTint="BF"/>
    </w:rPr>
  </w:style>
  <w:style w:type="character" w:customStyle="1" w:styleId="QuoteChar">
    <w:name w:val="Quote Char"/>
    <w:basedOn w:val="DefaultParagraphFont"/>
    <w:link w:val="Quote"/>
    <w:uiPriority w:val="29"/>
    <w:rsid w:val="00E665DB"/>
    <w:rPr>
      <w:i/>
      <w:iCs/>
      <w:color w:val="404040" w:themeColor="text1" w:themeTint="BF"/>
    </w:rPr>
  </w:style>
  <w:style w:type="paragraph" w:styleId="ListParagraph">
    <w:name w:val="List Paragraph"/>
    <w:basedOn w:val="Normal"/>
    <w:uiPriority w:val="34"/>
    <w:qFormat/>
    <w:rsid w:val="00E665DB"/>
    <w:pPr>
      <w:ind w:left="720"/>
      <w:contextualSpacing/>
    </w:pPr>
  </w:style>
  <w:style w:type="character" w:styleId="IntenseEmphasis">
    <w:name w:val="Intense Emphasis"/>
    <w:basedOn w:val="DefaultParagraphFont"/>
    <w:uiPriority w:val="21"/>
    <w:qFormat/>
    <w:rsid w:val="00E665DB"/>
    <w:rPr>
      <w:i/>
      <w:iCs/>
      <w:color w:val="2F5496" w:themeColor="accent1" w:themeShade="BF"/>
    </w:rPr>
  </w:style>
  <w:style w:type="paragraph" w:styleId="IntenseQuote">
    <w:name w:val="Intense Quote"/>
    <w:basedOn w:val="Normal"/>
    <w:next w:val="Normal"/>
    <w:link w:val="IntenseQuoteChar"/>
    <w:uiPriority w:val="30"/>
    <w:qFormat/>
    <w:rsid w:val="00E665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5DB"/>
    <w:rPr>
      <w:i/>
      <w:iCs/>
      <w:color w:val="2F5496" w:themeColor="accent1" w:themeShade="BF"/>
    </w:rPr>
  </w:style>
  <w:style w:type="character" w:styleId="IntenseReference">
    <w:name w:val="Intense Reference"/>
    <w:basedOn w:val="DefaultParagraphFont"/>
    <w:uiPriority w:val="32"/>
    <w:qFormat/>
    <w:rsid w:val="00E665DB"/>
    <w:rPr>
      <w:b/>
      <w:bCs/>
      <w:smallCaps/>
      <w:color w:val="2F5496" w:themeColor="accent1" w:themeShade="BF"/>
      <w:spacing w:val="5"/>
    </w:rPr>
  </w:style>
  <w:style w:type="paragraph" w:styleId="Header">
    <w:name w:val="header"/>
    <w:basedOn w:val="Normal"/>
    <w:link w:val="HeaderChar"/>
    <w:uiPriority w:val="99"/>
    <w:unhideWhenUsed/>
    <w:rsid w:val="000F0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946"/>
  </w:style>
  <w:style w:type="table" w:styleId="TableGrid">
    <w:name w:val="Table Grid"/>
    <w:basedOn w:val="TableNormal"/>
    <w:uiPriority w:val="39"/>
    <w:rsid w:val="00E33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562">
      <w:bodyDiv w:val="1"/>
      <w:marLeft w:val="0"/>
      <w:marRight w:val="0"/>
      <w:marTop w:val="0"/>
      <w:marBottom w:val="0"/>
      <w:divBdr>
        <w:top w:val="none" w:sz="0" w:space="0" w:color="auto"/>
        <w:left w:val="none" w:sz="0" w:space="0" w:color="auto"/>
        <w:bottom w:val="none" w:sz="0" w:space="0" w:color="auto"/>
        <w:right w:val="none" w:sz="0" w:space="0" w:color="auto"/>
      </w:divBdr>
    </w:div>
    <w:div w:id="228032146">
      <w:bodyDiv w:val="1"/>
      <w:marLeft w:val="0"/>
      <w:marRight w:val="0"/>
      <w:marTop w:val="0"/>
      <w:marBottom w:val="0"/>
      <w:divBdr>
        <w:top w:val="none" w:sz="0" w:space="0" w:color="auto"/>
        <w:left w:val="none" w:sz="0" w:space="0" w:color="auto"/>
        <w:bottom w:val="none" w:sz="0" w:space="0" w:color="auto"/>
        <w:right w:val="none" w:sz="0" w:space="0" w:color="auto"/>
      </w:divBdr>
    </w:div>
    <w:div w:id="665860892">
      <w:bodyDiv w:val="1"/>
      <w:marLeft w:val="0"/>
      <w:marRight w:val="0"/>
      <w:marTop w:val="0"/>
      <w:marBottom w:val="0"/>
      <w:divBdr>
        <w:top w:val="none" w:sz="0" w:space="0" w:color="auto"/>
        <w:left w:val="none" w:sz="0" w:space="0" w:color="auto"/>
        <w:bottom w:val="none" w:sz="0" w:space="0" w:color="auto"/>
        <w:right w:val="none" w:sz="0" w:space="0" w:color="auto"/>
      </w:divBdr>
    </w:div>
    <w:div w:id="747195223">
      <w:bodyDiv w:val="1"/>
      <w:marLeft w:val="0"/>
      <w:marRight w:val="0"/>
      <w:marTop w:val="0"/>
      <w:marBottom w:val="0"/>
      <w:divBdr>
        <w:top w:val="none" w:sz="0" w:space="0" w:color="auto"/>
        <w:left w:val="none" w:sz="0" w:space="0" w:color="auto"/>
        <w:bottom w:val="none" w:sz="0" w:space="0" w:color="auto"/>
        <w:right w:val="none" w:sz="0" w:space="0" w:color="auto"/>
      </w:divBdr>
    </w:div>
    <w:div w:id="12072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Cosmas Kateyeteye</dc:creator>
  <cp:keywords/>
  <dc:description/>
  <cp:lastModifiedBy>Patricia Muyambiri</cp:lastModifiedBy>
  <cp:revision>2</cp:revision>
  <dcterms:created xsi:type="dcterms:W3CDTF">2025-05-23T08:58:00Z</dcterms:created>
  <dcterms:modified xsi:type="dcterms:W3CDTF">2025-05-23T08:58:00Z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1bd30653,3be25f6c,40ee9cb7</vt:lpwstr>
  </property>
  <property fmtid="{D5CDD505-2E9C-101B-9397-08002B2CF9AE}" pid="3" name="ClassificationContentMarkingHeaderFontProps">
    <vt:lpwstr>#000000,12,Calibri</vt:lpwstr>
  </property>
  <property fmtid="{D5CDD505-2E9C-101B-9397-08002B2CF9AE}" pid="4" name="ClassificationContentMarkingHeaderText">
    <vt:lpwstr>Controlled Disclosure</vt:lpwstr>
  </property>
  <property fmtid="{D5CDD505-2E9C-101B-9397-08002B2CF9AE}" pid="5" name="MSIP_Label_809c58d3-5cd9-42fe-847f-613d390a4aa6_Enabled">
    <vt:lpwstr>true</vt:lpwstr>
  </property>
  <property fmtid="{D5CDD505-2E9C-101B-9397-08002B2CF9AE}" pid="6" name="MSIP_Label_809c58d3-5cd9-42fe-847f-613d390a4aa6_SetDate">
    <vt:lpwstr>2025-05-08T08:23:32Z</vt:lpwstr>
  </property>
  <property fmtid="{D5CDD505-2E9C-101B-9397-08002B2CF9AE}" pid="7" name="MSIP_Label_809c58d3-5cd9-42fe-847f-613d390a4aa6_Method">
    <vt:lpwstr>Privileged</vt:lpwstr>
  </property>
  <property fmtid="{D5CDD505-2E9C-101B-9397-08002B2CF9AE}" pid="8" name="MSIP_Label_809c58d3-5cd9-42fe-847f-613d390a4aa6_Name">
    <vt:lpwstr>Controlled Disclosure</vt:lpwstr>
  </property>
  <property fmtid="{D5CDD505-2E9C-101B-9397-08002B2CF9AE}" pid="9" name="MSIP_Label_809c58d3-5cd9-42fe-847f-613d390a4aa6_SiteId">
    <vt:lpwstr>30f51673-ff88-423e-bee3-3b57203338e7</vt:lpwstr>
  </property>
  <property fmtid="{D5CDD505-2E9C-101B-9397-08002B2CF9AE}" pid="10" name="MSIP_Label_809c58d3-5cd9-42fe-847f-613d390a4aa6_ActionId">
    <vt:lpwstr>2531e15a-29ee-4e76-8e54-4e45feb596b8</vt:lpwstr>
  </property>
  <property fmtid="{D5CDD505-2E9C-101B-9397-08002B2CF9AE}" pid="11" name="MSIP_Label_809c58d3-5cd9-42fe-847f-613d390a4aa6_ContentBits">
    <vt:lpwstr>1</vt:lpwstr>
  </property>
  <property fmtid="{D5CDD505-2E9C-101B-9397-08002B2CF9AE}" pid="12" name="MSIP_Label_809c58d3-5cd9-42fe-847f-613d390a4aa6_Tag">
    <vt:lpwstr>10, 0, 1, 1</vt:lpwstr>
  </property>
</Properties>
</file>