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02C7" w14:textId="3B9637F1" w:rsidR="009F0449" w:rsidRDefault="00B11456">
      <w:r>
        <w:rPr>
          <w:noProof/>
          <w:lang w:val="en-GB" w:eastAsia="en-GB"/>
        </w:rPr>
        <w:drawing>
          <wp:anchor distT="0" distB="0" distL="114300" distR="114300" simplePos="0" relativeHeight="251657728" behindDoc="0" locked="0" layoutInCell="1" allowOverlap="1" wp14:anchorId="22B4B31E" wp14:editId="6228356B">
            <wp:simplePos x="0" y="0"/>
            <wp:positionH relativeFrom="column">
              <wp:posOffset>4572000</wp:posOffset>
            </wp:positionH>
            <wp:positionV relativeFrom="paragraph">
              <wp:posOffset>-571500</wp:posOffset>
            </wp:positionV>
            <wp:extent cx="1287145" cy="97282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7145" cy="972820"/>
                    </a:xfrm>
                    <a:prstGeom prst="rect">
                      <a:avLst/>
                    </a:prstGeom>
                    <a:noFill/>
                  </pic:spPr>
                </pic:pic>
              </a:graphicData>
            </a:graphic>
            <wp14:sizeRelH relativeFrom="page">
              <wp14:pctWidth>0</wp14:pctWidth>
            </wp14:sizeRelH>
            <wp14:sizeRelV relativeFrom="page">
              <wp14:pctHeight>0</wp14:pctHeight>
            </wp14:sizeRelV>
          </wp:anchor>
        </w:drawing>
      </w:r>
    </w:p>
    <w:p w14:paraId="6AEB5E43" w14:textId="77777777" w:rsidR="009F0449" w:rsidRDefault="009F0449"/>
    <w:p w14:paraId="628C259A" w14:textId="77777777" w:rsidR="009F0449" w:rsidRDefault="009F0449"/>
    <w:p w14:paraId="358B6920" w14:textId="77777777" w:rsidR="009F0449" w:rsidRDefault="009F0449"/>
    <w:p w14:paraId="404CC4D8" w14:textId="77777777" w:rsidR="009F0449" w:rsidRDefault="009F0449" w:rsidP="009F0449">
      <w:pPr>
        <w:jc w:val="center"/>
        <w:rPr>
          <w:b/>
          <w:sz w:val="22"/>
          <w:szCs w:val="22"/>
        </w:rPr>
      </w:pPr>
      <w:r w:rsidRPr="009F0449">
        <w:rPr>
          <w:b/>
          <w:sz w:val="22"/>
          <w:szCs w:val="22"/>
        </w:rPr>
        <w:t>National College of Ireland</w:t>
      </w:r>
    </w:p>
    <w:p w14:paraId="5C28729A" w14:textId="77777777" w:rsidR="009F0449" w:rsidRPr="009F0449" w:rsidRDefault="009F0449" w:rsidP="009F0449">
      <w:pPr>
        <w:rPr>
          <w:b/>
          <w:sz w:val="22"/>
          <w:szCs w:val="22"/>
        </w:rPr>
      </w:pPr>
    </w:p>
    <w:p w14:paraId="45BC622D" w14:textId="579E85E4" w:rsidR="009F0449" w:rsidRPr="00756C86" w:rsidRDefault="009F0449" w:rsidP="00756C86">
      <w:pPr>
        <w:jc w:val="center"/>
        <w:rPr>
          <w:b/>
          <w:sz w:val="22"/>
          <w:szCs w:val="22"/>
        </w:rPr>
      </w:pPr>
      <w:r w:rsidRPr="009F0449">
        <w:rPr>
          <w:b/>
          <w:sz w:val="22"/>
          <w:szCs w:val="22"/>
        </w:rPr>
        <w:t>Project Submission Sheet</w:t>
      </w:r>
    </w:p>
    <w:tbl>
      <w:tblPr>
        <w:tblW w:w="9955" w:type="dxa"/>
        <w:tblLook w:val="01E0" w:firstRow="1" w:lastRow="1" w:firstColumn="1" w:lastColumn="1" w:noHBand="0" w:noVBand="0"/>
      </w:tblPr>
      <w:tblGrid>
        <w:gridCol w:w="1928"/>
        <w:gridCol w:w="5039"/>
        <w:gridCol w:w="1017"/>
        <w:gridCol w:w="1971"/>
      </w:tblGrid>
      <w:tr w:rsidR="009F0449" w14:paraId="35CBF120" w14:textId="77777777" w:rsidTr="00C62295">
        <w:trPr>
          <w:trHeight w:val="1048"/>
        </w:trPr>
        <w:tc>
          <w:tcPr>
            <w:tcW w:w="1928" w:type="dxa"/>
          </w:tcPr>
          <w:p w14:paraId="670F2F30" w14:textId="77777777" w:rsidR="009F0449" w:rsidRPr="00B2385F" w:rsidRDefault="009F0449">
            <w:pPr>
              <w:rPr>
                <w:b/>
              </w:rPr>
            </w:pPr>
          </w:p>
          <w:p w14:paraId="4C923248" w14:textId="77777777" w:rsidR="009F0449" w:rsidRPr="00B2385F" w:rsidRDefault="009F0449">
            <w:pPr>
              <w:rPr>
                <w:b/>
              </w:rPr>
            </w:pPr>
            <w:r w:rsidRPr="00B2385F">
              <w:rPr>
                <w:b/>
              </w:rPr>
              <w:t>Student Name:</w:t>
            </w:r>
          </w:p>
        </w:tc>
        <w:tc>
          <w:tcPr>
            <w:tcW w:w="8027" w:type="dxa"/>
            <w:gridSpan w:val="3"/>
          </w:tcPr>
          <w:p w14:paraId="1F9FD8F0" w14:textId="77777777" w:rsidR="009F0449" w:rsidRDefault="009F0449"/>
          <w:p w14:paraId="52522E6D" w14:textId="5754F1E2" w:rsidR="009F0449" w:rsidRDefault="00390D74">
            <w:r>
              <w:t>Group 17 (</w:t>
            </w:r>
            <w:r w:rsidR="0041709A" w:rsidRPr="0041709A">
              <w:t>Shamir Khan</w:t>
            </w:r>
            <w:r w:rsidR="0041709A">
              <w:t xml:space="preserve">, </w:t>
            </w:r>
            <w:r w:rsidR="0041709A" w:rsidRPr="0041709A">
              <w:t>Muhammad Raheel</w:t>
            </w:r>
            <w:r w:rsidR="0041709A">
              <w:t xml:space="preserve">, </w:t>
            </w:r>
            <w:r w:rsidR="00517F1A" w:rsidRPr="00517F1A">
              <w:t>Praveen Kumar Kurakula</w:t>
            </w:r>
            <w:r w:rsidR="00517F1A">
              <w:t xml:space="preserve">, </w:t>
            </w:r>
            <w:r w:rsidR="00517F1A" w:rsidRPr="00517F1A">
              <w:t>Trisha Yennam Showri</w:t>
            </w:r>
            <w:r w:rsidR="00517F1A">
              <w:t>, Sithu Min Zin</w:t>
            </w:r>
            <w:r>
              <w:t>)</w:t>
            </w:r>
          </w:p>
        </w:tc>
      </w:tr>
      <w:tr w:rsidR="009F0449" w14:paraId="5654CCFD" w14:textId="77777777" w:rsidTr="00C62295">
        <w:trPr>
          <w:trHeight w:val="701"/>
        </w:trPr>
        <w:tc>
          <w:tcPr>
            <w:tcW w:w="1928" w:type="dxa"/>
          </w:tcPr>
          <w:p w14:paraId="16DC7A87" w14:textId="77777777" w:rsidR="005373CA" w:rsidRDefault="005373CA">
            <w:pPr>
              <w:rPr>
                <w:b/>
              </w:rPr>
            </w:pPr>
          </w:p>
          <w:p w14:paraId="2CC7E8C2" w14:textId="510DBB6F" w:rsidR="009F0449" w:rsidRPr="00B2385F" w:rsidRDefault="009F0449">
            <w:pPr>
              <w:rPr>
                <w:b/>
              </w:rPr>
            </w:pPr>
            <w:r w:rsidRPr="00B2385F">
              <w:rPr>
                <w:b/>
              </w:rPr>
              <w:t>Student ID:</w:t>
            </w:r>
          </w:p>
        </w:tc>
        <w:tc>
          <w:tcPr>
            <w:tcW w:w="8027" w:type="dxa"/>
            <w:gridSpan w:val="3"/>
          </w:tcPr>
          <w:p w14:paraId="18BB7E70" w14:textId="77777777" w:rsidR="005373CA" w:rsidRDefault="005373CA" w:rsidP="001C76A5"/>
          <w:p w14:paraId="0520CC93" w14:textId="2355416C" w:rsidR="0025355A" w:rsidRDefault="00132491" w:rsidP="001C76A5">
            <w:r w:rsidRPr="00132491">
              <w:t>24244775</w:t>
            </w:r>
            <w:r>
              <w:t xml:space="preserve">, </w:t>
            </w:r>
            <w:r w:rsidRPr="00132491">
              <w:t>24149217</w:t>
            </w:r>
            <w:r>
              <w:t xml:space="preserve">, </w:t>
            </w:r>
            <w:r w:rsidR="00BB59AC" w:rsidRPr="00BB59AC">
              <w:t>24211401</w:t>
            </w:r>
            <w:r w:rsidR="00BB59AC">
              <w:t xml:space="preserve">, </w:t>
            </w:r>
            <w:r w:rsidR="00BB59AC" w:rsidRPr="00BB59AC">
              <w:t>24243426</w:t>
            </w:r>
            <w:r w:rsidR="00BB59AC">
              <w:t xml:space="preserve">, 24174335 </w:t>
            </w:r>
            <w:r>
              <w:t xml:space="preserve"> </w:t>
            </w:r>
          </w:p>
        </w:tc>
      </w:tr>
      <w:tr w:rsidR="00F71302" w14:paraId="237CDF24" w14:textId="77777777" w:rsidTr="00C62295">
        <w:trPr>
          <w:trHeight w:val="701"/>
        </w:trPr>
        <w:tc>
          <w:tcPr>
            <w:tcW w:w="1928" w:type="dxa"/>
          </w:tcPr>
          <w:p w14:paraId="1BA5C6F8" w14:textId="77777777" w:rsidR="009F0449" w:rsidRPr="00B2385F" w:rsidRDefault="009F0449">
            <w:pPr>
              <w:rPr>
                <w:b/>
              </w:rPr>
            </w:pPr>
            <w:r w:rsidRPr="00B2385F">
              <w:rPr>
                <w:b/>
              </w:rPr>
              <w:t>Programme:</w:t>
            </w:r>
          </w:p>
        </w:tc>
        <w:tc>
          <w:tcPr>
            <w:tcW w:w="5039" w:type="dxa"/>
          </w:tcPr>
          <w:p w14:paraId="37BD36AF" w14:textId="1B4AED21" w:rsidR="005373CA" w:rsidRDefault="00B259B2" w:rsidP="00756C86">
            <w:r>
              <w:t>Master of Science in Cyber  Security</w:t>
            </w:r>
          </w:p>
        </w:tc>
        <w:tc>
          <w:tcPr>
            <w:tcW w:w="1017" w:type="dxa"/>
          </w:tcPr>
          <w:p w14:paraId="00E4BFD6" w14:textId="2FF2054A" w:rsidR="009F0449" w:rsidRPr="00B2385F" w:rsidRDefault="009F0449">
            <w:pPr>
              <w:rPr>
                <w:b/>
              </w:rPr>
            </w:pPr>
          </w:p>
        </w:tc>
        <w:tc>
          <w:tcPr>
            <w:tcW w:w="1970" w:type="dxa"/>
          </w:tcPr>
          <w:p w14:paraId="3209227D" w14:textId="6E4426EF" w:rsidR="009F0449" w:rsidRDefault="009F0449"/>
        </w:tc>
      </w:tr>
      <w:tr w:rsidR="009F0449" w14:paraId="07564260" w14:textId="77777777" w:rsidTr="00C62295">
        <w:trPr>
          <w:trHeight w:val="701"/>
        </w:trPr>
        <w:tc>
          <w:tcPr>
            <w:tcW w:w="1928" w:type="dxa"/>
          </w:tcPr>
          <w:p w14:paraId="088937BB" w14:textId="76055BC1" w:rsidR="009F0449" w:rsidRPr="00B2385F" w:rsidRDefault="005373CA">
            <w:pPr>
              <w:rPr>
                <w:b/>
              </w:rPr>
            </w:pPr>
            <w:r>
              <w:rPr>
                <w:b/>
              </w:rPr>
              <w:t xml:space="preserve">Year:                       </w:t>
            </w:r>
          </w:p>
          <w:p w14:paraId="132BB7A2" w14:textId="51224D20" w:rsidR="009F0449" w:rsidRPr="00B2385F" w:rsidRDefault="009F0449">
            <w:pPr>
              <w:rPr>
                <w:b/>
              </w:rPr>
            </w:pPr>
            <w:r w:rsidRPr="00B2385F">
              <w:rPr>
                <w:b/>
              </w:rPr>
              <w:t>Module:</w:t>
            </w:r>
          </w:p>
        </w:tc>
        <w:tc>
          <w:tcPr>
            <w:tcW w:w="8027" w:type="dxa"/>
            <w:gridSpan w:val="3"/>
          </w:tcPr>
          <w:p w14:paraId="327228A2" w14:textId="608D96B5" w:rsidR="005373CA" w:rsidRDefault="005373CA" w:rsidP="001C76A5">
            <w:r>
              <w:t>2025</w:t>
            </w:r>
          </w:p>
          <w:p w14:paraId="5481819D" w14:textId="3F066FDD" w:rsidR="00EB5A14" w:rsidRDefault="00EB5A14" w:rsidP="001C76A5">
            <w:r>
              <w:t>Data Governance</w:t>
            </w:r>
          </w:p>
        </w:tc>
      </w:tr>
      <w:tr w:rsidR="009F0449" w14:paraId="63DB6BC4" w14:textId="77777777" w:rsidTr="00C62295">
        <w:trPr>
          <w:trHeight w:val="701"/>
        </w:trPr>
        <w:tc>
          <w:tcPr>
            <w:tcW w:w="1928" w:type="dxa"/>
          </w:tcPr>
          <w:p w14:paraId="133D044A" w14:textId="77777777" w:rsidR="009F0449" w:rsidRPr="00B2385F" w:rsidRDefault="009F0449">
            <w:pPr>
              <w:rPr>
                <w:b/>
              </w:rPr>
            </w:pPr>
          </w:p>
          <w:p w14:paraId="26DA5331" w14:textId="77777777" w:rsidR="009F0449" w:rsidRPr="00B2385F" w:rsidRDefault="009F0449">
            <w:pPr>
              <w:rPr>
                <w:b/>
              </w:rPr>
            </w:pPr>
            <w:r w:rsidRPr="00B2385F">
              <w:rPr>
                <w:b/>
              </w:rPr>
              <w:t>Lecturer:</w:t>
            </w:r>
          </w:p>
        </w:tc>
        <w:tc>
          <w:tcPr>
            <w:tcW w:w="8027" w:type="dxa"/>
            <w:gridSpan w:val="3"/>
          </w:tcPr>
          <w:p w14:paraId="20B63D25" w14:textId="77777777" w:rsidR="009F0449" w:rsidRDefault="009F0449" w:rsidP="001C76A5"/>
          <w:p w14:paraId="622D6841" w14:textId="77777777" w:rsidR="009F0449" w:rsidRDefault="00F71302" w:rsidP="001C76A5">
            <w:r w:rsidRPr="00F71302">
              <w:t>Dr. Kislay Raj</w:t>
            </w:r>
          </w:p>
          <w:p w14:paraId="7B064D2E" w14:textId="77777777" w:rsidR="006C6D88" w:rsidRDefault="006C6D88" w:rsidP="001C76A5"/>
          <w:p w14:paraId="0A546CB7" w14:textId="38F37C6E" w:rsidR="00756C86" w:rsidRDefault="00756C86" w:rsidP="001C76A5"/>
        </w:tc>
      </w:tr>
      <w:tr w:rsidR="009F0449" w14:paraId="501B77A6" w14:textId="77777777" w:rsidTr="00C62295">
        <w:trPr>
          <w:trHeight w:val="701"/>
        </w:trPr>
        <w:tc>
          <w:tcPr>
            <w:tcW w:w="1928" w:type="dxa"/>
          </w:tcPr>
          <w:p w14:paraId="73C21C63" w14:textId="77777777" w:rsidR="009F0449" w:rsidRPr="00B2385F" w:rsidRDefault="009F0449">
            <w:pPr>
              <w:rPr>
                <w:b/>
              </w:rPr>
            </w:pPr>
            <w:r w:rsidRPr="00B2385F">
              <w:rPr>
                <w:b/>
              </w:rPr>
              <w:t>Submission Due Date:</w:t>
            </w:r>
          </w:p>
        </w:tc>
        <w:tc>
          <w:tcPr>
            <w:tcW w:w="8027" w:type="dxa"/>
            <w:gridSpan w:val="3"/>
          </w:tcPr>
          <w:p w14:paraId="167D7239" w14:textId="77777777" w:rsidR="00756C86" w:rsidRDefault="00756C86" w:rsidP="001C76A5"/>
          <w:p w14:paraId="28228A2C" w14:textId="6593BCF0" w:rsidR="009F0449" w:rsidRDefault="00756C86" w:rsidP="001C76A5">
            <w:r>
              <w:t xml:space="preserve"> </w:t>
            </w:r>
            <w:r w:rsidR="00F71302">
              <w:t>7/11/2025</w:t>
            </w:r>
          </w:p>
        </w:tc>
      </w:tr>
      <w:tr w:rsidR="009F0449" w14:paraId="7DAA7E85" w14:textId="77777777" w:rsidTr="00C62295">
        <w:trPr>
          <w:trHeight w:val="1059"/>
        </w:trPr>
        <w:tc>
          <w:tcPr>
            <w:tcW w:w="1928" w:type="dxa"/>
          </w:tcPr>
          <w:p w14:paraId="48CA07F3" w14:textId="77777777" w:rsidR="009F0449" w:rsidRPr="00B2385F" w:rsidRDefault="009F0449">
            <w:pPr>
              <w:rPr>
                <w:b/>
              </w:rPr>
            </w:pPr>
          </w:p>
          <w:p w14:paraId="099FDDA8" w14:textId="77777777" w:rsidR="009F0449" w:rsidRPr="00B2385F" w:rsidRDefault="009F0449">
            <w:pPr>
              <w:rPr>
                <w:b/>
              </w:rPr>
            </w:pPr>
            <w:r w:rsidRPr="00B2385F">
              <w:rPr>
                <w:b/>
              </w:rPr>
              <w:t>Project Title:</w:t>
            </w:r>
          </w:p>
        </w:tc>
        <w:tc>
          <w:tcPr>
            <w:tcW w:w="8027" w:type="dxa"/>
            <w:gridSpan w:val="3"/>
          </w:tcPr>
          <w:p w14:paraId="54CC28F4" w14:textId="77777777" w:rsidR="009F0449" w:rsidRDefault="009F0449" w:rsidP="001C76A5"/>
          <w:p w14:paraId="5B17CD8F" w14:textId="77777777" w:rsidR="003250BA" w:rsidRPr="003250BA" w:rsidRDefault="003250BA" w:rsidP="003250BA">
            <w:pPr>
              <w:rPr>
                <w:b/>
                <w:lang w:val="en-US"/>
              </w:rPr>
            </w:pPr>
            <w:r w:rsidRPr="003250BA">
              <w:rPr>
                <w:b/>
                <w:lang w:val="en-US"/>
              </w:rPr>
              <w:t>Prosecution of Guerin Media Limited</w:t>
            </w:r>
          </w:p>
          <w:p w14:paraId="0EF59038" w14:textId="33C481B2" w:rsidR="00F71302" w:rsidRDefault="00F71302" w:rsidP="001C76A5"/>
        </w:tc>
      </w:tr>
      <w:tr w:rsidR="00AB2F19" w14:paraId="221DE1D7" w14:textId="77777777" w:rsidTr="00C62295">
        <w:trPr>
          <w:trHeight w:val="701"/>
        </w:trPr>
        <w:tc>
          <w:tcPr>
            <w:tcW w:w="1928" w:type="dxa"/>
            <w:vAlign w:val="bottom"/>
          </w:tcPr>
          <w:p w14:paraId="10C4ADC7" w14:textId="77777777" w:rsidR="00AB2F19" w:rsidRPr="00B2385F" w:rsidRDefault="00AB2F19" w:rsidP="00AB2F19">
            <w:pPr>
              <w:rPr>
                <w:b/>
              </w:rPr>
            </w:pPr>
            <w:r w:rsidRPr="00B2385F">
              <w:rPr>
                <w:b/>
              </w:rPr>
              <w:t>Word Count:</w:t>
            </w:r>
          </w:p>
        </w:tc>
        <w:tc>
          <w:tcPr>
            <w:tcW w:w="8027" w:type="dxa"/>
            <w:gridSpan w:val="3"/>
          </w:tcPr>
          <w:p w14:paraId="3D092003" w14:textId="461A42AA" w:rsidR="00AB2F19" w:rsidRDefault="00AB2F19" w:rsidP="00AB2F19"/>
        </w:tc>
      </w:tr>
    </w:tbl>
    <w:p w14:paraId="621C11EC" w14:textId="77777777" w:rsidR="009F0449" w:rsidRDefault="009F0449"/>
    <w:p w14:paraId="69E86E50" w14:textId="77777777" w:rsidR="009F0449" w:rsidRPr="009F0449" w:rsidRDefault="009F0449" w:rsidP="009F0449">
      <w:pPr>
        <w:pStyle w:val="BodyText"/>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4DCDC44" w14:textId="77777777" w:rsidR="009F0449" w:rsidRPr="009F0449" w:rsidRDefault="009F0449" w:rsidP="009F0449">
      <w:pPr>
        <w:pStyle w:val="BodyText"/>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supplied by the Library.  To use other author's written or electronic work is illegal (plagiarism) and may result in disciplinary action.  Students may be required to undergo a viva (oral examination) if there is suspicion about the validity of their submitted work.</w:t>
      </w:r>
    </w:p>
    <w:tbl>
      <w:tblPr>
        <w:tblpPr w:leftFromText="180" w:rightFromText="180" w:vertAnchor="text" w:tblpY="306"/>
        <w:tblW w:w="0" w:type="auto"/>
        <w:tblLook w:val="01E0" w:firstRow="1" w:lastRow="1" w:firstColumn="1" w:lastColumn="1" w:noHBand="0" w:noVBand="0"/>
      </w:tblPr>
      <w:tblGrid>
        <w:gridCol w:w="2130"/>
        <w:gridCol w:w="6392"/>
      </w:tblGrid>
      <w:tr w:rsidR="007F5DFA" w14:paraId="1F58D56B" w14:textId="77777777" w:rsidTr="007F5DFA">
        <w:tc>
          <w:tcPr>
            <w:tcW w:w="2130" w:type="dxa"/>
          </w:tcPr>
          <w:p w14:paraId="6C369170" w14:textId="77777777" w:rsidR="007F5DFA" w:rsidRPr="00B2385F" w:rsidRDefault="007F5DFA" w:rsidP="007F5DFA">
            <w:pPr>
              <w:rPr>
                <w:b/>
              </w:rPr>
            </w:pPr>
            <w:r w:rsidRPr="00B2385F">
              <w:rPr>
                <w:b/>
              </w:rPr>
              <w:lastRenderedPageBreak/>
              <w:t>Signature:</w:t>
            </w:r>
          </w:p>
        </w:tc>
        <w:tc>
          <w:tcPr>
            <w:tcW w:w="6392" w:type="dxa"/>
          </w:tcPr>
          <w:p w14:paraId="4F843E5A" w14:textId="77777777" w:rsidR="007F5DFA" w:rsidRDefault="007F5DFA" w:rsidP="007F5DFA">
            <w:r>
              <w:t>Group 17</w:t>
            </w:r>
          </w:p>
        </w:tc>
      </w:tr>
      <w:tr w:rsidR="007F5DFA" w14:paraId="74BFE7B9" w14:textId="77777777" w:rsidTr="007F5DFA">
        <w:tc>
          <w:tcPr>
            <w:tcW w:w="2130" w:type="dxa"/>
          </w:tcPr>
          <w:p w14:paraId="2E0031BB" w14:textId="77777777" w:rsidR="007F5DFA" w:rsidRPr="00B2385F" w:rsidRDefault="007F5DFA" w:rsidP="007F5DFA">
            <w:pPr>
              <w:rPr>
                <w:b/>
              </w:rPr>
            </w:pPr>
          </w:p>
          <w:p w14:paraId="58808DD3" w14:textId="77777777" w:rsidR="007F5DFA" w:rsidRPr="00B2385F" w:rsidRDefault="007F5DFA" w:rsidP="007F5DFA">
            <w:pPr>
              <w:rPr>
                <w:b/>
              </w:rPr>
            </w:pPr>
            <w:r w:rsidRPr="00B2385F">
              <w:rPr>
                <w:b/>
              </w:rPr>
              <w:t>Date:</w:t>
            </w:r>
          </w:p>
        </w:tc>
        <w:tc>
          <w:tcPr>
            <w:tcW w:w="6392" w:type="dxa"/>
          </w:tcPr>
          <w:p w14:paraId="56CDCF03" w14:textId="77777777" w:rsidR="007F5DFA" w:rsidRDefault="007F5DFA" w:rsidP="007F5DFA"/>
          <w:p w14:paraId="308B8D7E" w14:textId="77777777" w:rsidR="007F5DFA" w:rsidRDefault="007F5DFA" w:rsidP="007F5DFA"/>
        </w:tc>
      </w:tr>
    </w:tbl>
    <w:p w14:paraId="77FAD113" w14:textId="77777777" w:rsidR="009F0449" w:rsidRDefault="009F0449" w:rsidP="00233E80">
      <w:pPr>
        <w:spacing w:line="240" w:lineRule="auto"/>
      </w:pPr>
    </w:p>
    <w:p w14:paraId="6C33C4D4" w14:textId="77777777" w:rsidR="009F0449" w:rsidRDefault="009F0449"/>
    <w:p w14:paraId="74BC7118" w14:textId="77777777" w:rsidR="009F0449" w:rsidRDefault="009F0449"/>
    <w:p w14:paraId="50A9BFC1" w14:textId="77777777" w:rsidR="009F06C0" w:rsidRDefault="009F06C0">
      <w:pPr>
        <w:rPr>
          <w:b/>
        </w:rPr>
      </w:pPr>
    </w:p>
    <w:p w14:paraId="53257E7D" w14:textId="77777777" w:rsidR="009F06C0" w:rsidRDefault="009F06C0">
      <w:pPr>
        <w:rPr>
          <w:b/>
        </w:rPr>
      </w:pPr>
    </w:p>
    <w:p w14:paraId="7C4B9A14" w14:textId="4E426826" w:rsidR="009F0449" w:rsidRPr="009F0449" w:rsidRDefault="009F0449">
      <w:pPr>
        <w:rPr>
          <w:b/>
        </w:rPr>
      </w:pPr>
      <w:r w:rsidRPr="009F0449">
        <w:rPr>
          <w:b/>
        </w:rPr>
        <w:t>PLEASE READ THE FOLLOWING INSTRUCTIONS:</w:t>
      </w:r>
    </w:p>
    <w:p w14:paraId="7B62F4E9" w14:textId="77777777" w:rsidR="009F0449" w:rsidRDefault="009F0449"/>
    <w:p w14:paraId="1E5A9465" w14:textId="77777777" w:rsidR="009F0449" w:rsidRDefault="009F0449" w:rsidP="009F0449">
      <w:pPr>
        <w:ind w:left="720" w:hanging="720"/>
      </w:pPr>
      <w:r>
        <w:t>1.</w:t>
      </w:r>
      <w:r>
        <w:tab/>
        <w:t>Please attach a completed copy of this sheet to each project (including multiple copies).</w:t>
      </w:r>
    </w:p>
    <w:p w14:paraId="13FBA303" w14:textId="77777777" w:rsidR="009F0449" w:rsidRDefault="009F0449" w:rsidP="009F0449">
      <w:r>
        <w:t>2.</w:t>
      </w:r>
      <w:r>
        <w:tab/>
        <w:t>Projects should be submitted to your Programme Coordinator.</w:t>
      </w:r>
    </w:p>
    <w:p w14:paraId="37A96609" w14:textId="77777777" w:rsidR="009F0449" w:rsidRDefault="009F0449" w:rsidP="009F0449">
      <w:pPr>
        <w:ind w:left="720" w:hanging="720"/>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8BC26BB" w14:textId="77777777" w:rsidR="009F0449" w:rsidRPr="009F0449" w:rsidRDefault="009F0449" w:rsidP="009F0449">
      <w:pPr>
        <w:ind w:left="720" w:hanging="720"/>
        <w:rPr>
          <w:b/>
        </w:rPr>
      </w:pPr>
      <w:r>
        <w:t>4.</w:t>
      </w:r>
      <w:r>
        <w:tab/>
        <w:t xml:space="preserve">You must ensure that all projects are submitted to your Programme Coordinator on or before the required submission date.  </w:t>
      </w:r>
      <w:r w:rsidRPr="009F0449">
        <w:rPr>
          <w:b/>
        </w:rPr>
        <w:t>Late submissions will incur penalties.</w:t>
      </w:r>
    </w:p>
    <w:p w14:paraId="6526CE5D" w14:textId="77777777" w:rsidR="009F0449" w:rsidRDefault="009F0449" w:rsidP="009F0449">
      <w:pPr>
        <w:ind w:left="720" w:hanging="720"/>
      </w:pPr>
      <w:r>
        <w:t>5.</w:t>
      </w:r>
      <w:r>
        <w:tab/>
        <w:t xml:space="preserve">All projects must be submitted and passed in order to successfully complete the year.  </w:t>
      </w:r>
      <w:r w:rsidRPr="009F0449">
        <w:rPr>
          <w:b/>
        </w:rPr>
        <w:t>Any project/assignment not submitted will be marked as a fail.</w:t>
      </w:r>
    </w:p>
    <w:p w14:paraId="3A796D44"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3EB7F50C" w14:textId="77777777" w:rsidTr="00B2385F">
        <w:tc>
          <w:tcPr>
            <w:tcW w:w="8522" w:type="dxa"/>
            <w:gridSpan w:val="2"/>
          </w:tcPr>
          <w:p w14:paraId="5F619C59" w14:textId="77777777" w:rsidR="009F0449" w:rsidRPr="00B2385F" w:rsidRDefault="009F0449">
            <w:pPr>
              <w:rPr>
                <w:b/>
              </w:rPr>
            </w:pPr>
            <w:r w:rsidRPr="00B2385F">
              <w:rPr>
                <w:b/>
              </w:rPr>
              <w:t>Office Use Only</w:t>
            </w:r>
          </w:p>
        </w:tc>
      </w:tr>
      <w:tr w:rsidR="009F0449" w14:paraId="0302EBC8" w14:textId="77777777" w:rsidTr="00B2385F">
        <w:tc>
          <w:tcPr>
            <w:tcW w:w="3348" w:type="dxa"/>
          </w:tcPr>
          <w:p w14:paraId="3240AAB9" w14:textId="77777777" w:rsidR="009F0449" w:rsidRDefault="009F0449">
            <w:r>
              <w:t>Signature:</w:t>
            </w:r>
          </w:p>
        </w:tc>
        <w:tc>
          <w:tcPr>
            <w:tcW w:w="5174" w:type="dxa"/>
          </w:tcPr>
          <w:p w14:paraId="75E23B1E" w14:textId="77777777" w:rsidR="009F0449" w:rsidRDefault="009F0449"/>
        </w:tc>
      </w:tr>
      <w:tr w:rsidR="009F0449" w14:paraId="407092D3" w14:textId="77777777" w:rsidTr="00B2385F">
        <w:tc>
          <w:tcPr>
            <w:tcW w:w="3348" w:type="dxa"/>
          </w:tcPr>
          <w:p w14:paraId="221C1121" w14:textId="77777777" w:rsidR="009F0449" w:rsidRDefault="009F0449" w:rsidP="009F0449">
            <w:r>
              <w:t>Date:</w:t>
            </w:r>
          </w:p>
        </w:tc>
        <w:tc>
          <w:tcPr>
            <w:tcW w:w="5174" w:type="dxa"/>
          </w:tcPr>
          <w:p w14:paraId="29C9DEAE" w14:textId="77777777" w:rsidR="009F0449" w:rsidRDefault="009F0449"/>
        </w:tc>
      </w:tr>
      <w:tr w:rsidR="009F0449" w14:paraId="5114523F" w14:textId="77777777" w:rsidTr="00B2385F">
        <w:tc>
          <w:tcPr>
            <w:tcW w:w="3348" w:type="dxa"/>
          </w:tcPr>
          <w:p w14:paraId="39BD8BC8" w14:textId="77777777" w:rsidR="009F0449" w:rsidRDefault="009F0449" w:rsidP="009F0449">
            <w:r>
              <w:t>Penalty Applied (if applicable):</w:t>
            </w:r>
          </w:p>
        </w:tc>
        <w:tc>
          <w:tcPr>
            <w:tcW w:w="5174" w:type="dxa"/>
          </w:tcPr>
          <w:p w14:paraId="37A85D69" w14:textId="77777777" w:rsidR="009F0449" w:rsidRDefault="009F0449"/>
        </w:tc>
      </w:tr>
    </w:tbl>
    <w:p w14:paraId="529BD85B" w14:textId="77777777" w:rsidR="00B9457D" w:rsidRDefault="00B9457D" w:rsidP="00F50976">
      <w:pPr>
        <w:rPr>
          <w:lang w:val="en-US" w:eastAsia="en-US"/>
        </w:rPr>
      </w:pPr>
    </w:p>
    <w:p w14:paraId="3ECEB40D" w14:textId="3754FDDD"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1ADE39B5"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Module Name]</w:t>
      </w:r>
    </w:p>
    <w:p w14:paraId="41CF5A3A" w14:textId="63906096" w:rsidR="00A25003" w:rsidRPr="00756C86" w:rsidRDefault="00957C62" w:rsidP="00756C86">
      <w:pPr>
        <w:pStyle w:val="Heading1"/>
        <w:rPr>
          <w:lang w:val="en-US" w:eastAsia="en-US"/>
        </w:rPr>
      </w:pPr>
      <w:r w:rsidRPr="00957C62">
        <w:rPr>
          <w:lang w:val="en-US" w:eastAsia="en-US"/>
        </w:rPr>
        <w:t>[</w:t>
      </w:r>
      <w:r>
        <w:rPr>
          <w:lang w:val="en-US" w:eastAsia="en-US"/>
        </w:rPr>
        <w:t xml:space="preserve">Insert </w:t>
      </w:r>
      <w:r w:rsidRPr="00957C62">
        <w:rPr>
          <w:lang w:val="en-US" w:eastAsia="en-US"/>
        </w:rPr>
        <w:t>Title of your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4"/>
        <w:gridCol w:w="3304"/>
        <w:gridCol w:w="3246"/>
      </w:tblGrid>
      <w:tr w:rsidR="00957C62" w:rsidRPr="00957C62" w14:paraId="75AE5926"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4B82E726" w14:textId="77777777" w:rsidR="00957C62" w:rsidRPr="00957C62" w:rsidRDefault="00957C62" w:rsidP="00957C62">
            <w:pPr>
              <w:textAlignment w:val="baseline"/>
              <w:rPr>
                <w:b/>
                <w:bCs/>
                <w:color w:val="FFFFFF"/>
                <w:szCs w:val="24"/>
                <w:lang w:val="en-US" w:eastAsia="en-US"/>
              </w:rPr>
            </w:pPr>
            <w:r w:rsidRPr="00957C62">
              <w:rPr>
                <w:rFonts w:ascii="Calibri" w:hAnsi="Calibri" w:cs="Calibri"/>
                <w:b/>
                <w:bCs/>
                <w:color w:val="FFFFFF"/>
                <w:szCs w:val="24"/>
                <w:lang w:val="en-US" w:eastAsia="en-US"/>
              </w:rPr>
              <w:t>Your Name/Student Number</w:t>
            </w:r>
            <w:r>
              <w:rPr>
                <w:rFonts w:ascii="Calibri" w:hAnsi="Calibri" w:cs="Calibri"/>
                <w:b/>
                <w:bCs/>
                <w:color w:val="FFFFFF"/>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77EA8746" w14:textId="77777777" w:rsidR="00957C62" w:rsidRPr="00957C62" w:rsidRDefault="00957C62" w:rsidP="00957C62">
            <w:pPr>
              <w:textAlignment w:val="baseline"/>
              <w:rPr>
                <w:b/>
                <w:bCs/>
                <w:color w:val="FFFFFF"/>
                <w:szCs w:val="24"/>
                <w:lang w:val="en-US" w:eastAsia="en-US"/>
              </w:rPr>
            </w:pPr>
            <w:r w:rsidRPr="00957C62">
              <w:rPr>
                <w:rFonts w:ascii="Calibri" w:hAnsi="Calibri" w:cs="Calibri"/>
                <w:b/>
                <w:bCs/>
                <w:color w:val="FFFFFF"/>
                <w:szCs w:val="24"/>
                <w:lang w:val="en-US" w:eastAsia="en-US"/>
              </w:rPr>
              <w:t>Course</w:t>
            </w:r>
            <w:r>
              <w:rPr>
                <w:rFonts w:ascii="Calibri" w:hAnsi="Calibri" w:cs="Calibri"/>
                <w:b/>
                <w:bCs/>
                <w:color w:val="FFFFFF"/>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7B548CE6" w14:textId="77777777" w:rsidR="00957C62" w:rsidRPr="00957C62" w:rsidRDefault="00957C62" w:rsidP="00957C62">
            <w:pPr>
              <w:textAlignment w:val="baseline"/>
              <w:rPr>
                <w:b/>
                <w:bCs/>
                <w:color w:val="FFFFFF"/>
                <w:szCs w:val="24"/>
                <w:lang w:val="en-US" w:eastAsia="en-US"/>
              </w:rPr>
            </w:pPr>
            <w:r w:rsidRPr="00957C62">
              <w:rPr>
                <w:rFonts w:ascii="Calibri" w:hAnsi="Calibri" w:cs="Calibri"/>
                <w:b/>
                <w:bCs/>
                <w:color w:val="FFFFFF"/>
                <w:szCs w:val="24"/>
                <w:lang w:val="en-US" w:eastAsia="en-US"/>
              </w:rPr>
              <w:t>Date</w:t>
            </w:r>
            <w:r>
              <w:rPr>
                <w:rFonts w:ascii="Calibri" w:hAnsi="Calibri" w:cs="Calibri"/>
                <w:b/>
                <w:bCs/>
                <w:color w:val="FFFFFF"/>
                <w:szCs w:val="24"/>
                <w:lang w:val="en-US" w:eastAsia="en-US"/>
              </w:rPr>
              <w:t> </w:t>
            </w:r>
          </w:p>
        </w:tc>
      </w:tr>
      <w:tr w:rsidR="00957C62" w:rsidRPr="00957C62" w14:paraId="2F690ABE"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3C9F01EA" w14:textId="77777777" w:rsidR="00957C62" w:rsidRPr="00957C62" w:rsidRDefault="00957C62" w:rsidP="00957C62">
            <w:pPr>
              <w:textAlignment w:val="baseline"/>
              <w:rPr>
                <w:b/>
                <w:bCs/>
                <w:szCs w:val="24"/>
                <w:lang w:val="en-US" w:eastAsia="en-US"/>
              </w:rPr>
            </w:pPr>
            <w:r>
              <w:rPr>
                <w:rFonts w:ascii="Calibri" w:hAnsi="Calibri" w:cs="Calibri"/>
                <w:b/>
                <w:bCs/>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3B193245" w14:textId="77777777" w:rsidR="00957C62" w:rsidRPr="00957C62" w:rsidRDefault="00957C62" w:rsidP="00957C62">
            <w:pPr>
              <w:textAlignment w:val="baseline"/>
              <w:rPr>
                <w:szCs w:val="24"/>
                <w:lang w:val="en-US" w:eastAsia="en-US"/>
              </w:rPr>
            </w:pPr>
            <w:r>
              <w:rPr>
                <w:rFonts w:ascii="Calibri" w:hAnsi="Calibri" w:cs="Calibri"/>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AA46C0" w14:textId="77777777" w:rsidR="00957C62" w:rsidRPr="00957C62" w:rsidRDefault="00957C62" w:rsidP="00957C62">
            <w:pPr>
              <w:textAlignment w:val="baseline"/>
              <w:rPr>
                <w:szCs w:val="24"/>
                <w:lang w:val="en-US" w:eastAsia="en-US"/>
              </w:rPr>
            </w:pPr>
            <w:r>
              <w:rPr>
                <w:rFonts w:ascii="Calibri" w:hAnsi="Calibri" w:cs="Calibri"/>
                <w:szCs w:val="24"/>
                <w:lang w:val="en-US" w:eastAsia="en-US"/>
              </w:rPr>
              <w:t> </w:t>
            </w:r>
          </w:p>
        </w:tc>
      </w:tr>
    </w:tbl>
    <w:p w14:paraId="6BCDF070" w14:textId="77777777" w:rsidR="00957C62" w:rsidRPr="00957C62" w:rsidRDefault="00957C62" w:rsidP="00957C62">
      <w:pPr>
        <w:textAlignment w:val="baseline"/>
        <w:rPr>
          <w:rFonts w:ascii="Segoe UI" w:hAnsi="Segoe UI" w:cs="Segoe UI"/>
          <w:lang w:val="en-US" w:eastAsia="en-US"/>
        </w:rPr>
      </w:pPr>
      <w:r w:rsidRPr="00957C62">
        <w:rPr>
          <w:rFonts w:ascii="Calibri" w:hAnsi="Calibri" w:cs="Calibri"/>
          <w:szCs w:val="24"/>
          <w:lang w:val="en-US" w:eastAsia="en-US"/>
        </w:rPr>
        <w:t> </w:t>
      </w:r>
    </w:p>
    <w:p w14:paraId="568DFB96" w14:textId="77777777" w:rsidR="00957C62" w:rsidRPr="00957C62" w:rsidRDefault="00957C62" w:rsidP="00957C62">
      <w:pPr>
        <w:textAlignment w:val="baseline"/>
        <w:rPr>
          <w:rFonts w:ascii="Segoe UI" w:hAnsi="Segoe UI" w:cs="Segoe UI"/>
          <w:lang w:val="en-US" w:eastAsia="en-US"/>
        </w:rPr>
      </w:pPr>
      <w:r w:rsidRPr="00957C62">
        <w:rPr>
          <w:rFonts w:ascii="Calibri" w:hAnsi="Calibri" w:cs="Calibri"/>
          <w:szCs w:val="24"/>
          <w:lang w:val="en-US" w:eastAsia="en-US"/>
        </w:rPr>
        <w:lastRenderedPageBreak/>
        <w:t xml:space="preserve">This </w:t>
      </w:r>
      <w:r>
        <w:rPr>
          <w:rFonts w:ascii="Calibri" w:hAnsi="Calibri" w:cs="Calibri"/>
          <w:szCs w:val="24"/>
          <w:lang w:val="en-US" w:eastAsia="en-US"/>
        </w:rPr>
        <w:t>section</w:t>
      </w:r>
      <w:r w:rsidRPr="00957C62">
        <w:rPr>
          <w:rFonts w:ascii="Calibri" w:hAnsi="Calibri" w:cs="Calibri"/>
          <w:szCs w:val="24"/>
          <w:lang w:val="en-US" w:eastAsia="en-US"/>
        </w:rPr>
        <w:t xml:space="preserve"> is a supplement to the main assignment,</w:t>
      </w:r>
      <w:r>
        <w:rPr>
          <w:rFonts w:ascii="Calibri" w:hAnsi="Calibri" w:cs="Calibri"/>
          <w:szCs w:val="24"/>
          <w:lang w:val="en-US" w:eastAsia="en-US"/>
        </w:rPr>
        <w:t xml:space="preserve"> to be used if AI was used in any capacity in the creation of your assignment</w:t>
      </w:r>
      <w:r w:rsidRPr="00957C62">
        <w:rPr>
          <w:rFonts w:ascii="Calibri" w:hAnsi="Calibri" w:cs="Calibri"/>
          <w:szCs w:val="24"/>
          <w:lang w:val="en-US" w:eastAsia="en-US"/>
        </w:rPr>
        <w:t>; if you have queries about how to do this, please contact your lecturer. </w:t>
      </w:r>
      <w:r>
        <w:rPr>
          <w:rFonts w:ascii="Calibri" w:hAnsi="Calibri" w:cs="Calibri"/>
          <w:szCs w:val="24"/>
          <w:lang w:val="en-US" w:eastAsia="en-US"/>
        </w:rPr>
        <w:t>For an example of how to fill these sections out, please clic</w:t>
      </w:r>
      <w:r w:rsidR="00F278C5">
        <w:rPr>
          <w:rFonts w:ascii="Calibri" w:hAnsi="Calibri" w:cs="Calibri"/>
          <w:szCs w:val="24"/>
          <w:lang w:val="en-US" w:eastAsia="en-US"/>
        </w:rPr>
        <w:t xml:space="preserve">k </w:t>
      </w:r>
      <w:hyperlink r:id="rId11" w:history="1">
        <w:r w:rsidR="00F278C5" w:rsidRPr="00F278C5">
          <w:rPr>
            <w:rStyle w:val="Hyperlink"/>
            <w:rFonts w:ascii="Calibri" w:hAnsi="Calibri" w:cs="Calibri"/>
            <w:szCs w:val="24"/>
            <w:lang w:val="en-US" w:eastAsia="en-US"/>
          </w:rPr>
          <w:t>here</w:t>
        </w:r>
      </w:hyperlink>
      <w:r>
        <w:rPr>
          <w:rFonts w:ascii="Calibri" w:hAnsi="Calibri" w:cs="Calibri"/>
          <w:szCs w:val="24"/>
          <w:lang w:val="en-US" w:eastAsia="en-US"/>
        </w:rPr>
        <w:t>.</w:t>
      </w:r>
    </w:p>
    <w:p w14:paraId="1FF98FEC"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4130FD3" w14:textId="77777777" w:rsidR="00957C62" w:rsidRPr="00957C62" w:rsidRDefault="00957C62" w:rsidP="00957C62">
      <w:pPr>
        <w:textAlignment w:val="baseline"/>
        <w:rPr>
          <w:rFonts w:ascii="Segoe UI" w:hAnsi="Segoe UI" w:cs="Segoe UI"/>
          <w:lang w:val="en-US" w:eastAsia="en-US"/>
        </w:rPr>
      </w:pPr>
      <w:r w:rsidRPr="00957C62">
        <w:rPr>
          <w:rFonts w:ascii="Calibri" w:hAnsi="Calibri" w:cs="Calibri"/>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1"/>
        <w:gridCol w:w="5075"/>
        <w:gridCol w:w="3268"/>
      </w:tblGrid>
      <w:tr w:rsidR="00957C62" w:rsidRPr="00957C62" w14:paraId="0FAEDEF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2A52E93F" w14:textId="77777777" w:rsidR="00957C62" w:rsidRPr="00957C62" w:rsidRDefault="00957C62" w:rsidP="00957C62">
            <w:pPr>
              <w:textAlignment w:val="baseline"/>
              <w:rPr>
                <w:b/>
                <w:bCs/>
                <w:color w:val="FFFFFF"/>
                <w:szCs w:val="24"/>
                <w:lang w:val="en-US" w:eastAsia="en-US"/>
              </w:rPr>
            </w:pPr>
            <w:r w:rsidRPr="00957C62">
              <w:rPr>
                <w:rFonts w:ascii="Calibri" w:hAnsi="Calibri" w:cs="Calibri"/>
                <w:b/>
                <w:bCs/>
                <w:color w:val="FFFFFF"/>
                <w:szCs w:val="24"/>
                <w:lang w:val="en-US" w:eastAsia="en-US"/>
              </w:rPr>
              <w:t>Tool Name</w:t>
            </w:r>
            <w:r>
              <w:rPr>
                <w:rFonts w:ascii="Calibri" w:hAnsi="Calibri" w:cs="Calibri"/>
                <w:b/>
                <w:bCs/>
                <w:color w:val="FFFFFF"/>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49CAD653" w14:textId="77777777" w:rsidR="00957C62" w:rsidRPr="00957C62" w:rsidRDefault="00957C62" w:rsidP="00957C62">
            <w:pPr>
              <w:textAlignment w:val="baseline"/>
              <w:rPr>
                <w:b/>
                <w:bCs/>
                <w:color w:val="FFFFFF"/>
                <w:szCs w:val="24"/>
                <w:lang w:val="en-US" w:eastAsia="en-US"/>
              </w:rPr>
            </w:pPr>
            <w:r w:rsidRPr="00957C62">
              <w:rPr>
                <w:rFonts w:ascii="Calibri" w:hAnsi="Calibri" w:cs="Calibri"/>
                <w:b/>
                <w:bCs/>
                <w:color w:val="FFFFFF"/>
                <w:szCs w:val="24"/>
                <w:lang w:val="en-US" w:eastAsia="en-US"/>
              </w:rPr>
              <w:t>Brief Description</w:t>
            </w:r>
            <w:r>
              <w:rPr>
                <w:rFonts w:ascii="Calibri" w:hAnsi="Calibri" w:cs="Calibri"/>
                <w:b/>
                <w:bCs/>
                <w:color w:val="FFFFFF"/>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058D1016" w14:textId="77777777" w:rsidR="00957C62" w:rsidRPr="00957C62" w:rsidRDefault="00957C62" w:rsidP="00957C62">
            <w:pPr>
              <w:textAlignment w:val="baseline"/>
              <w:rPr>
                <w:b/>
                <w:bCs/>
                <w:color w:val="FFFFFF"/>
                <w:szCs w:val="24"/>
                <w:lang w:val="en-US" w:eastAsia="en-US"/>
              </w:rPr>
            </w:pPr>
            <w:r w:rsidRPr="00957C62">
              <w:rPr>
                <w:rFonts w:ascii="Calibri" w:hAnsi="Calibri" w:cs="Calibri"/>
                <w:b/>
                <w:bCs/>
                <w:color w:val="FFFFFF"/>
                <w:szCs w:val="24"/>
                <w:lang w:val="en-US" w:eastAsia="en-US"/>
              </w:rPr>
              <w:t>Link to tool</w:t>
            </w:r>
            <w:r>
              <w:rPr>
                <w:rFonts w:ascii="Calibri" w:hAnsi="Calibri" w:cs="Calibri"/>
                <w:b/>
                <w:bCs/>
                <w:color w:val="FFFFFF"/>
                <w:szCs w:val="24"/>
                <w:lang w:val="en-US" w:eastAsia="en-US"/>
              </w:rPr>
              <w:t> </w:t>
            </w:r>
          </w:p>
        </w:tc>
      </w:tr>
      <w:tr w:rsidR="00957C62" w:rsidRPr="00957C62" w14:paraId="0A931D0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42AD057F" w14:textId="77777777" w:rsidR="00957C62" w:rsidRPr="00957C62" w:rsidRDefault="00957C62" w:rsidP="00957C62">
            <w:pPr>
              <w:textAlignment w:val="baseline"/>
              <w:rPr>
                <w:b/>
                <w:bCs/>
                <w:szCs w:val="24"/>
                <w:lang w:val="en-US" w:eastAsia="en-US"/>
              </w:rPr>
            </w:pPr>
            <w:r>
              <w:rPr>
                <w:rFonts w:ascii="Calibri" w:hAnsi="Calibri" w:cs="Calibri"/>
                <w:b/>
                <w:bCs/>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2B8A977" w14:textId="77777777" w:rsidR="00957C62" w:rsidRPr="00957C62" w:rsidRDefault="00957C62" w:rsidP="00957C62">
            <w:pPr>
              <w:textAlignment w:val="baseline"/>
              <w:rPr>
                <w:szCs w:val="24"/>
                <w:lang w:val="en-US" w:eastAsia="en-US"/>
              </w:rPr>
            </w:pPr>
            <w:r>
              <w:rPr>
                <w:rFonts w:ascii="Calibri" w:hAnsi="Calibri" w:cs="Calibri"/>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149E2EC" w14:textId="77777777" w:rsidR="00957C62" w:rsidRPr="00957C62" w:rsidRDefault="00957C62" w:rsidP="00957C62">
            <w:pPr>
              <w:textAlignment w:val="baseline"/>
              <w:rPr>
                <w:szCs w:val="24"/>
                <w:lang w:val="en-US" w:eastAsia="en-US"/>
              </w:rPr>
            </w:pPr>
            <w:r>
              <w:rPr>
                <w:rFonts w:ascii="Calibri" w:hAnsi="Calibri" w:cs="Calibri"/>
                <w:szCs w:val="24"/>
                <w:lang w:val="en-US" w:eastAsia="en-US"/>
              </w:rPr>
              <w:t> </w:t>
            </w:r>
          </w:p>
        </w:tc>
      </w:tr>
      <w:tr w:rsidR="00957C62" w:rsidRPr="00957C62" w14:paraId="19DA58A7"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48CE57BB" w14:textId="77777777" w:rsidR="00957C62" w:rsidRPr="00957C62" w:rsidRDefault="00957C62" w:rsidP="00957C62">
            <w:pPr>
              <w:textAlignment w:val="baseline"/>
              <w:rPr>
                <w:b/>
                <w:bCs/>
                <w:szCs w:val="24"/>
                <w:lang w:val="en-US" w:eastAsia="en-US"/>
              </w:rPr>
            </w:pPr>
            <w:r>
              <w:rPr>
                <w:rFonts w:ascii="Calibri" w:hAnsi="Calibri" w:cs="Calibri"/>
                <w:b/>
                <w:bCs/>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F0869BF" w14:textId="77777777" w:rsidR="00957C62" w:rsidRPr="00957C62" w:rsidRDefault="00957C62" w:rsidP="00957C62">
            <w:pPr>
              <w:textAlignment w:val="baseline"/>
              <w:rPr>
                <w:szCs w:val="24"/>
                <w:lang w:val="en-US" w:eastAsia="en-US"/>
              </w:rPr>
            </w:pPr>
            <w:r>
              <w:rPr>
                <w:rFonts w:ascii="Calibri" w:hAnsi="Calibri" w:cs="Calibri"/>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70CD9502" w14:textId="77777777" w:rsidR="00957C62" w:rsidRPr="00957C62" w:rsidRDefault="00957C62" w:rsidP="00957C62">
            <w:pPr>
              <w:textAlignment w:val="baseline"/>
              <w:rPr>
                <w:szCs w:val="24"/>
                <w:lang w:val="en-US" w:eastAsia="en-US"/>
              </w:rPr>
            </w:pPr>
            <w:r>
              <w:rPr>
                <w:rFonts w:ascii="Calibri" w:hAnsi="Calibri" w:cs="Calibri"/>
                <w:szCs w:val="24"/>
                <w:lang w:val="en-US" w:eastAsia="en-US"/>
              </w:rPr>
              <w:t> </w:t>
            </w:r>
          </w:p>
        </w:tc>
      </w:tr>
    </w:tbl>
    <w:p w14:paraId="6887B9EF" w14:textId="77777777" w:rsidR="00957C62" w:rsidRPr="00957C62" w:rsidRDefault="00957C62" w:rsidP="00957C62">
      <w:pPr>
        <w:textAlignment w:val="baseline"/>
        <w:rPr>
          <w:rFonts w:ascii="Segoe UI" w:hAnsi="Segoe UI" w:cs="Segoe UI"/>
          <w:lang w:val="en-US" w:eastAsia="en-US"/>
        </w:rPr>
      </w:pPr>
      <w:r w:rsidRPr="00957C62">
        <w:rPr>
          <w:rFonts w:ascii="Calibri" w:hAnsi="Calibri" w:cs="Calibri"/>
          <w:szCs w:val="24"/>
          <w:lang w:val="en-US" w:eastAsia="en-US"/>
        </w:rPr>
        <w:t> </w:t>
      </w:r>
    </w:p>
    <w:p w14:paraId="39F4F9AA"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061AC18F" w14:textId="77777777" w:rsidR="00957C62" w:rsidRPr="00957C62" w:rsidRDefault="00957C62" w:rsidP="00957C62">
      <w:pPr>
        <w:textAlignment w:val="baseline"/>
        <w:rPr>
          <w:rFonts w:ascii="Segoe UI" w:hAnsi="Segoe UI" w:cs="Segoe UI"/>
          <w:lang w:val="en-US" w:eastAsia="en-US"/>
        </w:rPr>
      </w:pPr>
      <w:r w:rsidRPr="00957C62">
        <w:rPr>
          <w:rFonts w:ascii="Calibri" w:hAnsi="Calibri" w:cs="Calibri"/>
          <w:szCs w:val="24"/>
          <w:lang w:val="en-US" w:eastAsia="en-US"/>
        </w:rPr>
        <w:t xml:space="preserve">This section provides a </w:t>
      </w:r>
      <w:r>
        <w:rPr>
          <w:rFonts w:ascii="Calibri" w:hAnsi="Calibri" w:cs="Calibri"/>
          <w:szCs w:val="24"/>
          <w:lang w:val="en-US" w:eastAsia="en-US"/>
        </w:rPr>
        <w:t xml:space="preserve">more </w:t>
      </w:r>
      <w:r w:rsidRPr="00957C62">
        <w:rPr>
          <w:rFonts w:ascii="Calibri" w:hAnsi="Calibri" w:cs="Calibri"/>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Cs w:val="24"/>
          <w:lang w:val="en-US" w:eastAsia="en-US"/>
        </w:rPr>
        <w:t>One table should be used for each tool used</w:t>
      </w:r>
      <w:r w:rsidRPr="00957C62">
        <w:rPr>
          <w:rFonts w:ascii="Calibri" w:hAnsi="Calibri" w:cs="Calibri"/>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06"/>
        <w:gridCol w:w="5058"/>
      </w:tblGrid>
      <w:tr w:rsidR="00957C62" w:rsidRPr="00957C62" w14:paraId="10412049"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4B803369" w14:textId="77777777" w:rsidR="00957C62" w:rsidRPr="00957C62" w:rsidRDefault="00957C62" w:rsidP="00957C62">
            <w:pPr>
              <w:textAlignment w:val="baseline"/>
              <w:divId w:val="1673406802"/>
              <w:rPr>
                <w:b/>
                <w:bCs/>
                <w:color w:val="FFFFFF"/>
                <w:szCs w:val="24"/>
                <w:lang w:val="en-US" w:eastAsia="en-US"/>
              </w:rPr>
            </w:pPr>
            <w:r w:rsidRPr="00957C62">
              <w:rPr>
                <w:rFonts w:ascii="Calibri" w:hAnsi="Calibri" w:cs="Calibri"/>
                <w:b/>
                <w:bCs/>
                <w:color w:val="FFFFFF"/>
                <w:szCs w:val="24"/>
                <w:lang w:val="en-US" w:eastAsia="en-US"/>
              </w:rPr>
              <w:t>[</w:t>
            </w:r>
            <w:r>
              <w:rPr>
                <w:rFonts w:ascii="Calibri" w:hAnsi="Calibri" w:cs="Calibri"/>
                <w:b/>
                <w:bCs/>
                <w:color w:val="FFFFFF"/>
                <w:szCs w:val="24"/>
                <w:lang w:val="en-US" w:eastAsia="en-US"/>
              </w:rPr>
              <w:t xml:space="preserve">Insert </w:t>
            </w:r>
            <w:r w:rsidRPr="00957C62">
              <w:rPr>
                <w:rFonts w:ascii="Calibri" w:hAnsi="Calibri" w:cs="Calibri"/>
                <w:b/>
                <w:bCs/>
                <w:color w:val="FFFFFF"/>
                <w:szCs w:val="24"/>
                <w:lang w:val="en-US" w:eastAsia="en-US"/>
              </w:rPr>
              <w:t>Tool Name]</w:t>
            </w:r>
            <w:r>
              <w:rPr>
                <w:rFonts w:ascii="Calibri" w:hAnsi="Calibri" w:cs="Calibri"/>
                <w:b/>
                <w:bCs/>
                <w:color w:val="FFFFFF"/>
                <w:szCs w:val="24"/>
                <w:lang w:val="en-US" w:eastAsia="en-US"/>
              </w:rPr>
              <w:t> </w:t>
            </w:r>
          </w:p>
        </w:tc>
      </w:tr>
      <w:tr w:rsidR="00957C62" w:rsidRPr="00957C62" w14:paraId="2B788DED"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2D803B88" w14:textId="77777777" w:rsidR="00957C62" w:rsidRPr="00957C62" w:rsidRDefault="00957C62" w:rsidP="00957C62">
            <w:pPr>
              <w:textAlignment w:val="baseline"/>
              <w:rPr>
                <w:b/>
                <w:bCs/>
                <w:szCs w:val="24"/>
                <w:lang w:val="en-US" w:eastAsia="en-US"/>
              </w:rPr>
            </w:pPr>
            <w:r w:rsidRPr="00957C62">
              <w:rPr>
                <w:rFonts w:ascii="Calibri" w:hAnsi="Calibri" w:cs="Calibri"/>
                <w:szCs w:val="24"/>
                <w:lang w:val="en-US" w:eastAsia="en-US"/>
              </w:rPr>
              <w:t>[Insert Description of use]</w:t>
            </w:r>
            <w:r>
              <w:rPr>
                <w:rFonts w:ascii="Calibri" w:hAnsi="Calibri" w:cs="Calibri"/>
                <w:b/>
                <w:bCs/>
                <w:szCs w:val="24"/>
                <w:lang w:val="en-US" w:eastAsia="en-US"/>
              </w:rPr>
              <w:t> </w:t>
            </w:r>
          </w:p>
        </w:tc>
      </w:tr>
      <w:tr w:rsidR="00957C62" w:rsidRPr="00957C62" w14:paraId="5BC85A2F"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4AE97572" w14:textId="77777777" w:rsidR="00957C62" w:rsidRPr="00957C62" w:rsidRDefault="00957C62" w:rsidP="00957C62">
            <w:pPr>
              <w:textAlignment w:val="baseline"/>
              <w:rPr>
                <w:b/>
                <w:bCs/>
                <w:szCs w:val="24"/>
                <w:lang w:val="en-US" w:eastAsia="en-US"/>
              </w:rPr>
            </w:pPr>
            <w:r w:rsidRPr="00957C62">
              <w:rPr>
                <w:rFonts w:ascii="Calibri" w:hAnsi="Calibri" w:cs="Calibri"/>
                <w:szCs w:val="24"/>
                <w:lang w:val="en-US" w:eastAsia="en-US"/>
              </w:rPr>
              <w:t>[Insert Sample prompt]</w:t>
            </w:r>
            <w:r>
              <w:rPr>
                <w:rFonts w:ascii="Calibri" w:hAnsi="Calibri" w:cs="Calibri"/>
                <w:b/>
                <w:bCs/>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794B60AA" w14:textId="77777777" w:rsidR="00957C62" w:rsidRPr="00957C62" w:rsidRDefault="00957C62" w:rsidP="00957C62">
            <w:pPr>
              <w:textAlignment w:val="baseline"/>
              <w:rPr>
                <w:szCs w:val="24"/>
                <w:lang w:val="en-US" w:eastAsia="en-US"/>
              </w:rPr>
            </w:pPr>
            <w:r w:rsidRPr="00957C62">
              <w:rPr>
                <w:rFonts w:ascii="Calibri" w:hAnsi="Calibri" w:cs="Calibri"/>
                <w:szCs w:val="24"/>
                <w:lang w:val="en-US" w:eastAsia="en-US"/>
              </w:rPr>
              <w:t>[Insert Sample response]</w:t>
            </w:r>
            <w:r>
              <w:rPr>
                <w:rFonts w:ascii="Calibri" w:hAnsi="Calibri" w:cs="Calibri"/>
                <w:szCs w:val="24"/>
                <w:lang w:val="en-US" w:eastAsia="en-US"/>
              </w:rPr>
              <w:t> </w:t>
            </w:r>
          </w:p>
        </w:tc>
      </w:tr>
    </w:tbl>
    <w:p w14:paraId="10E27281" w14:textId="77777777" w:rsidR="00756C86" w:rsidRDefault="00957C62" w:rsidP="00756C86">
      <w:pPr>
        <w:textAlignment w:val="baseline"/>
        <w:rPr>
          <w:rFonts w:ascii="Calibri" w:hAnsi="Calibri" w:cs="Calibri"/>
          <w:szCs w:val="24"/>
          <w:lang w:val="en-US" w:eastAsia="en-US"/>
        </w:rPr>
      </w:pPr>
      <w:r w:rsidRPr="00957C62">
        <w:rPr>
          <w:rFonts w:ascii="Calibri" w:hAnsi="Calibri" w:cs="Calibri"/>
          <w:szCs w:val="24"/>
          <w:lang w:val="en-US" w:eastAsia="en-US"/>
        </w:rPr>
        <w:t> </w:t>
      </w:r>
    </w:p>
    <w:p w14:paraId="3369B638" w14:textId="77777777" w:rsidR="00756C86" w:rsidRDefault="00756C86" w:rsidP="00756C86">
      <w:pPr>
        <w:textAlignment w:val="baseline"/>
        <w:rPr>
          <w:rFonts w:ascii="Calibri" w:hAnsi="Calibri" w:cs="Calibri"/>
          <w:szCs w:val="24"/>
          <w:lang w:val="en-US" w:eastAsia="en-US"/>
        </w:rPr>
      </w:pPr>
    </w:p>
    <w:p w14:paraId="07F0CA70" w14:textId="5A4F6886" w:rsidR="00957C62" w:rsidRPr="00957C62" w:rsidRDefault="00957C62" w:rsidP="00756C86">
      <w:pPr>
        <w:textAlignment w:val="baseline"/>
        <w:rPr>
          <w:rFonts w:ascii="Segoe UI" w:hAnsi="Segoe UI" w:cs="Segoe UI"/>
          <w:lang w:val="en-US" w:eastAsia="en-US"/>
        </w:rPr>
      </w:pPr>
      <w:r w:rsidRPr="00957C62">
        <w:rPr>
          <w:lang w:val="en-US" w:eastAsia="en-US"/>
        </w:rPr>
        <w:t>Evidence of AI Usage </w:t>
      </w:r>
    </w:p>
    <w:p w14:paraId="3B92F1CC" w14:textId="77777777" w:rsidR="00957C62" w:rsidRPr="00957C62" w:rsidRDefault="00957C62" w:rsidP="00957C62">
      <w:pPr>
        <w:textAlignment w:val="baseline"/>
        <w:rPr>
          <w:rFonts w:ascii="Segoe UI" w:hAnsi="Segoe UI" w:cs="Segoe UI"/>
          <w:lang w:val="en-US" w:eastAsia="en-US"/>
        </w:rPr>
      </w:pPr>
      <w:r w:rsidRPr="00957C62">
        <w:rPr>
          <w:rFonts w:ascii="Calibri" w:hAnsi="Calibri" w:cs="Calibri"/>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0F52E10D" w14:textId="77777777"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79905D33" w14:textId="77777777" w:rsidR="00957C62" w:rsidRPr="00957C62" w:rsidRDefault="00957C62" w:rsidP="00957C62">
      <w:pPr>
        <w:textAlignment w:val="baseline"/>
        <w:rPr>
          <w:rFonts w:ascii="Segoe UI" w:hAnsi="Segoe UI" w:cs="Segoe UI"/>
          <w:lang w:val="en-US" w:eastAsia="en-US"/>
        </w:rPr>
      </w:pPr>
      <w:r w:rsidRPr="00957C62">
        <w:rPr>
          <w:rFonts w:ascii="Calibri" w:hAnsi="Calibri" w:cs="Calibri"/>
          <w:szCs w:val="24"/>
          <w:lang w:val="en-US" w:eastAsia="en-US"/>
        </w:rPr>
        <w:t>[Place evidence here] </w:t>
      </w:r>
    </w:p>
    <w:p w14:paraId="3254778C" w14:textId="77777777"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2EB28197" w14:textId="6CDE6C59" w:rsidR="000A437B" w:rsidRPr="000A437B" w:rsidRDefault="00957C62" w:rsidP="000A437B">
      <w:pPr>
        <w:textAlignment w:val="baseline"/>
        <w:rPr>
          <w:rFonts w:ascii="Calibri" w:hAnsi="Calibri" w:cs="Calibri"/>
          <w:szCs w:val="24"/>
          <w:lang w:val="en-US" w:eastAsia="en-US"/>
        </w:rPr>
      </w:pPr>
      <w:r w:rsidRPr="00957C62">
        <w:rPr>
          <w:rFonts w:ascii="Calibri" w:hAnsi="Calibri" w:cs="Calibri"/>
          <w:szCs w:val="24"/>
          <w:lang w:val="en-US" w:eastAsia="en-US"/>
        </w:rPr>
        <w:t>[Place evidence here] </w:t>
      </w:r>
    </w:p>
    <w:p w14:paraId="6ABF5989" w14:textId="77777777" w:rsidR="000A437B" w:rsidRDefault="000A437B" w:rsidP="000A437B"/>
    <w:p w14:paraId="404A97F9" w14:textId="03C01379" w:rsidR="002F0262" w:rsidRPr="00B505F4" w:rsidRDefault="002F0262" w:rsidP="00B505F4">
      <w:pPr>
        <w:pStyle w:val="Heading1"/>
      </w:pPr>
      <w:r w:rsidRPr="00B505F4">
        <w:lastRenderedPageBreak/>
        <w:t>Executive Summary:</w:t>
      </w:r>
    </w:p>
    <w:p w14:paraId="08B4F4F7" w14:textId="77777777" w:rsidR="002F0262" w:rsidRPr="00E2588F" w:rsidRDefault="002F0262" w:rsidP="00E2588F">
      <w:pPr>
        <w:pStyle w:val="Heading20"/>
      </w:pPr>
      <w:r w:rsidRPr="00E2588F">
        <w:t xml:space="preserve">Problem: </w:t>
      </w:r>
    </w:p>
    <w:p w14:paraId="589CA561" w14:textId="3CA4DDE3" w:rsidR="002F0262" w:rsidRPr="007C41E7" w:rsidRDefault="002F0262" w:rsidP="007C41E7">
      <w:pPr>
        <w:ind w:firstLine="720"/>
      </w:pPr>
      <w:r w:rsidRPr="00BE222F">
        <w:t>This report looks into Guerin Media Limited's illegal electronic marketing communications, in which the company kept emailing people who had clearly said they didn't want to receive them. This failure happened because the contact list management was broken, and deleted addresses stayed in a separate Gmail list that wasn't part of the official removal process.</w:t>
      </w:r>
    </w:p>
    <w:p w14:paraId="0C8169E3" w14:textId="298AD78B" w:rsidR="002F0262" w:rsidRPr="00BE222F" w:rsidRDefault="002F0262" w:rsidP="00E2588F">
      <w:pPr>
        <w:pStyle w:val="Heading20"/>
      </w:pPr>
      <w:r w:rsidRPr="00BE222F">
        <w:t xml:space="preserve">Why </w:t>
      </w:r>
      <w:r w:rsidR="007C41E7">
        <w:t>is it</w:t>
      </w:r>
      <w:r w:rsidRPr="00BE222F">
        <w:t xml:space="preserve"> important?</w:t>
      </w:r>
    </w:p>
    <w:p w14:paraId="5BC7CF4D" w14:textId="47FE43B1" w:rsidR="002F0262" w:rsidRPr="00110527" w:rsidRDefault="002F0262" w:rsidP="007C41E7">
      <w:pPr>
        <w:ind w:firstLine="720"/>
      </w:pPr>
      <w:r w:rsidRPr="00110527">
        <w:t>This is a very important issue because it goes against user autonomy, breaks the rules set by regulators, and makes institutions less trusting of data controllers, which can lead to fines and damage to an organization's reputation</w:t>
      </w:r>
      <w:r w:rsidR="00852B23">
        <w:t xml:space="preserve"> [1]</w:t>
      </w:r>
      <w:r w:rsidR="001801DD">
        <w:t>, [2]</w:t>
      </w:r>
      <w:r w:rsidR="00110527" w:rsidRPr="00110527">
        <w:t>.</w:t>
      </w:r>
    </w:p>
    <w:p w14:paraId="5412CF67" w14:textId="77777777" w:rsidR="002F0262" w:rsidRPr="00BF2B56" w:rsidRDefault="002F0262" w:rsidP="00B15F2B">
      <w:pPr>
        <w:rPr>
          <w:rFonts w:eastAsia="Roboto"/>
        </w:rPr>
      </w:pPr>
      <w:r w:rsidRPr="00BF2B56">
        <w:rPr>
          <w:rFonts w:eastAsia="Roboto"/>
        </w:rPr>
        <w:t>The main objectives of this analysis are to:</w:t>
      </w:r>
    </w:p>
    <w:p w14:paraId="70AB894B" w14:textId="1B1C8AEB" w:rsidR="002F0262" w:rsidRPr="00BF2B56" w:rsidRDefault="002F0262" w:rsidP="00B15F2B">
      <w:pPr>
        <w:numPr>
          <w:ilvl w:val="0"/>
          <w:numId w:val="4"/>
        </w:numPr>
      </w:pPr>
      <w:r w:rsidRPr="00BF2B56">
        <w:t>Evaluates critically the electronic marketing governance and regulatory frameworks</w:t>
      </w:r>
      <w:r w:rsidR="00DB42CD">
        <w:t xml:space="preserve"> [1], [2]</w:t>
      </w:r>
      <w:r w:rsidRPr="00BF2B56">
        <w:t>.</w:t>
      </w:r>
    </w:p>
    <w:p w14:paraId="7FBEEB24" w14:textId="4EC21230" w:rsidR="002F0262" w:rsidRPr="00BF2B56" w:rsidRDefault="002F0262" w:rsidP="00B15F2B">
      <w:pPr>
        <w:numPr>
          <w:ilvl w:val="0"/>
          <w:numId w:val="4"/>
        </w:numPr>
      </w:pPr>
      <w:r w:rsidRPr="00BF2B56">
        <w:rPr>
          <w:rFonts w:eastAsia="Roboto"/>
        </w:rPr>
        <w:t>Evaluate the data privacy and protection failures that led to consecutive breaches</w:t>
      </w:r>
      <w:r w:rsidR="006D2435">
        <w:rPr>
          <w:rFonts w:eastAsia="Roboto"/>
        </w:rPr>
        <w:t>.</w:t>
      </w:r>
    </w:p>
    <w:p w14:paraId="5A4FCFAB" w14:textId="410A8E44" w:rsidR="002F0262" w:rsidRPr="00BF2B56" w:rsidRDefault="002F0262" w:rsidP="00B15F2B">
      <w:pPr>
        <w:numPr>
          <w:ilvl w:val="0"/>
          <w:numId w:val="4"/>
        </w:numPr>
      </w:pPr>
      <w:r w:rsidRPr="00BF2B56">
        <w:t>Discuss the ethical, legal, and social consequences of bad consent management</w:t>
      </w:r>
      <w:r w:rsidR="009A6706">
        <w:t xml:space="preserve"> [3]</w:t>
      </w:r>
      <w:r>
        <w:t>.</w:t>
      </w:r>
    </w:p>
    <w:p w14:paraId="42DEBC3F" w14:textId="4F7BAF18" w:rsidR="002F0262" w:rsidRPr="00355708" w:rsidRDefault="002F0262" w:rsidP="00B15F2B">
      <w:pPr>
        <w:numPr>
          <w:ilvl w:val="0"/>
          <w:numId w:val="4"/>
        </w:numPr>
      </w:pPr>
      <w:r w:rsidRPr="00BF2B56">
        <w:rPr>
          <w:rFonts w:eastAsia="Roboto"/>
        </w:rPr>
        <w:t xml:space="preserve">Provide actionable, long-term solutions that incorporate robust data governance </w:t>
      </w:r>
      <w:r w:rsidRPr="00355708">
        <w:rPr>
          <w:rFonts w:eastAsia="Roboto"/>
        </w:rPr>
        <w:t>and Privacy by Design capabilities</w:t>
      </w:r>
      <w:r w:rsidR="0064721C">
        <w:rPr>
          <w:rFonts w:eastAsia="Roboto"/>
        </w:rPr>
        <w:t xml:space="preserve"> [</w:t>
      </w:r>
      <w:r w:rsidR="003C61B8">
        <w:rPr>
          <w:rFonts w:eastAsia="Roboto"/>
        </w:rPr>
        <w:t>4</w:t>
      </w:r>
      <w:r w:rsidR="0064721C">
        <w:rPr>
          <w:rFonts w:eastAsia="Roboto"/>
        </w:rPr>
        <w:t>]</w:t>
      </w:r>
      <w:r w:rsidRPr="00355708">
        <w:rPr>
          <w:rFonts w:eastAsia="Roboto"/>
        </w:rPr>
        <w:t>.</w:t>
      </w:r>
    </w:p>
    <w:p w14:paraId="75E890A7" w14:textId="77777777" w:rsidR="002F0262" w:rsidRPr="00355708" w:rsidRDefault="002F0262" w:rsidP="004870BD">
      <w:r w:rsidRPr="00355708">
        <w:t>This case study supports Sustainable Development Goal 16:</w:t>
      </w:r>
    </w:p>
    <w:p w14:paraId="760259B7" w14:textId="77777777" w:rsidR="002F0262" w:rsidRPr="00355708" w:rsidRDefault="002F0262" w:rsidP="00110527">
      <w:pPr>
        <w:rPr>
          <w:sz w:val="26"/>
          <w:szCs w:val="26"/>
        </w:rPr>
      </w:pPr>
    </w:p>
    <w:p w14:paraId="5338B5D8" w14:textId="54BD739E" w:rsidR="002F0262" w:rsidRPr="00355708" w:rsidRDefault="002F0262" w:rsidP="004870BD">
      <w:r w:rsidRPr="00355708">
        <w:t xml:space="preserve">Peace, Justice, and Strong Institutions, in its focus on: 16.6: Building effective, accountable, and transparent institutions; and 16.B: Promoting and implementing </w:t>
      </w:r>
      <w:r w:rsidR="00AB4BB3" w:rsidRPr="00355708">
        <w:t>non-discriminatory</w:t>
      </w:r>
      <w:r w:rsidRPr="00355708">
        <w:t xml:space="preserve"> policies and laws that achieve sustainable development (UN SDG 16). Critical commentary indicates that, while all of the comprehensive consent and transparency conditions laid down under GDPR Articles 5, 6, and 25 and in the 2011 ePrivacy Regulations are provided, in practice</w:t>
      </w:r>
      <w:r w:rsidR="00AB4BB3">
        <w:t>,</w:t>
      </w:r>
      <w:r w:rsidRPr="00355708">
        <w:t xml:space="preserve"> enforcement is hindered by manual methods and isolated data inventories. In order to protect data subjects' rights and encourage institutional responsibility, urgent implementation is necessary for integrated contact management, audit logging, and real-time monitoring of compliance. The absence of automated processes to delete data has enabled breaches from human error</w:t>
      </w:r>
      <w:r w:rsidR="005D3A0B">
        <w:t xml:space="preserve"> [5] </w:t>
      </w:r>
      <w:r w:rsidR="0037752B">
        <w:t>[6]</w:t>
      </w:r>
      <w:r w:rsidRPr="00355708">
        <w:t>.</w:t>
      </w:r>
    </w:p>
    <w:p w14:paraId="41A4FCC1" w14:textId="77777777" w:rsidR="002F0262" w:rsidRPr="00355708" w:rsidRDefault="002F0262" w:rsidP="002F0262">
      <w:pPr>
        <w:rPr>
          <w:sz w:val="26"/>
          <w:szCs w:val="26"/>
        </w:rPr>
      </w:pPr>
    </w:p>
    <w:p w14:paraId="7181576B" w14:textId="77777777" w:rsidR="002F0262" w:rsidRPr="00355708" w:rsidRDefault="002F0262" w:rsidP="00414032">
      <w:r w:rsidRPr="00355708">
        <w:t>Case Study 10: The year 2022</w:t>
      </w:r>
    </w:p>
    <w:p w14:paraId="0A03A5E0" w14:textId="77777777" w:rsidR="002F0262" w:rsidRDefault="002F0262" w:rsidP="006834F5"/>
    <w:p w14:paraId="48FF3B8C" w14:textId="77777777" w:rsidR="002F0262" w:rsidRPr="00595312" w:rsidRDefault="002F0262" w:rsidP="00414032">
      <w:pPr>
        <w:pStyle w:val="Heading1"/>
        <w:rPr>
          <w:rFonts w:eastAsia="Roboto"/>
          <w:i/>
          <w:iCs/>
        </w:rPr>
      </w:pPr>
      <w:bookmarkStart w:id="0" w:name="_bjqby0rx3om" w:colFirst="0" w:colLast="0"/>
      <w:bookmarkEnd w:id="0"/>
      <w:r w:rsidRPr="00595312">
        <w:rPr>
          <w:rFonts w:eastAsia="Roboto"/>
        </w:rPr>
        <w:lastRenderedPageBreak/>
        <w:t>Section 1: Governance &amp; Regulatory Frameworks for Electronic Marketing</w:t>
      </w:r>
    </w:p>
    <w:p w14:paraId="029C340B" w14:textId="457BAFBD" w:rsidR="002F0262" w:rsidRPr="00622CFC" w:rsidRDefault="002F0262" w:rsidP="00893030">
      <w:r w:rsidRPr="00622CFC">
        <w:t xml:space="preserve">Irish ePrivacy Regulations 2011 (SI 336/2011) </w:t>
      </w:r>
      <w:r w:rsidR="00C359F8">
        <w:t>prohibit</w:t>
      </w:r>
      <w:r w:rsidRPr="00622CFC">
        <w:t xml:space="preserve"> unsolicited electronic advertisement categorically without prior express consent. According to Regulation 13(1), "An individual is not entitled to receive or send an unsolicited message under the name of direct marketing by any publicly available electronic communications service except on the understanding conveyed to the subscriber or user that that person is contented to receive such a message" unless that individual is otherwise entitled to use or allow the use of that electronic communications service Moreover, Regulations 13(3) to 13(6) require controllers to maintain documents to show consent and authorize the Data Protection Commission to enforce its action in case of breach</w:t>
      </w:r>
      <w:r w:rsidR="00404DB7">
        <w:t xml:space="preserve"> [</w:t>
      </w:r>
      <w:r w:rsidR="008A68DC">
        <w:t>7</w:t>
      </w:r>
      <w:r w:rsidR="00404DB7">
        <w:t>]</w:t>
      </w:r>
      <w:r w:rsidRPr="00622CFC">
        <w:t>.</w:t>
      </w:r>
    </w:p>
    <w:p w14:paraId="3D8536BB" w14:textId="11D72090" w:rsidR="002F0262" w:rsidRPr="00622CFC" w:rsidRDefault="002F0262" w:rsidP="00893030">
      <w:r w:rsidRPr="00622CFC">
        <w:t>The processing of personal data based on direct marketing must under Articles 6 of the General Data Protection Regulation (GDPR) meet one of the lawful bases. Article 6(1)(a) contains the free, specific, informed consent, Article 6(1)(f) allows the processing under legitimate interests when they do not interfere with individual rights</w:t>
      </w:r>
      <w:r>
        <w:t xml:space="preserve">. </w:t>
      </w:r>
      <w:r w:rsidRPr="00622CFC">
        <w:t>Nonetheless, the ePrivacy Regulations defeat such flexibility by proscribing any legitimate-interest ground to unsolicited electronic communications</w:t>
      </w:r>
      <w:r w:rsidR="008A68DC">
        <w:t xml:space="preserve"> [8]</w:t>
      </w:r>
      <w:r w:rsidRPr="00622CFC">
        <w:t>.</w:t>
      </w:r>
    </w:p>
    <w:p w14:paraId="018FD93A" w14:textId="7B76D90B" w:rsidR="00A11A48" w:rsidRPr="00622CFC" w:rsidRDefault="002F0262" w:rsidP="00893030">
      <w:r w:rsidRPr="00622CFC">
        <w:t>Article 5 of GDPR establishes the key principles of processing, including lawfulness, fairness, transparency, limitation of purposes, minimum data, precision, limitation on storage, integrity and confidentiality which marketing controllers should exercise</w:t>
      </w:r>
      <w:r w:rsidR="0067688B">
        <w:t xml:space="preserve"> [9]</w:t>
      </w:r>
      <w:r w:rsidRPr="00622CFC">
        <w:t xml:space="preserve">. Additionally, Article 25 incorporates Data Protection by Design and by Default which dictates that privacy protection (e.g., automatic consent checks and deletion processes) </w:t>
      </w:r>
      <w:r w:rsidR="00FA0792">
        <w:t>is</w:t>
      </w:r>
      <w:r w:rsidRPr="00622CFC">
        <w:t xml:space="preserve"> integrated into systems at the beginning</w:t>
      </w:r>
      <w:r w:rsidR="00145475">
        <w:t xml:space="preserve"> [10]</w:t>
      </w:r>
      <w:r w:rsidRPr="00622CFC">
        <w:t>.</w:t>
      </w:r>
    </w:p>
    <w:p w14:paraId="775A02B8" w14:textId="77777777" w:rsidR="002F0262" w:rsidRPr="00777155" w:rsidRDefault="002F0262" w:rsidP="00FA0792">
      <w:pPr>
        <w:pStyle w:val="Heading20"/>
      </w:pPr>
      <w:r w:rsidRPr="00777155">
        <w:t>Critical Assessment:</w:t>
      </w:r>
    </w:p>
    <w:p w14:paraId="53273D03" w14:textId="0E0E2AA1" w:rsidR="002F0262" w:rsidRPr="00622CFC" w:rsidRDefault="002F0262" w:rsidP="00FA0792">
      <w:r w:rsidRPr="00622CFC">
        <w:t xml:space="preserve">In spite of these sound structures, they are repeatedly violated by Guerin Media Limited showing the gaps in the enforcement and implementation. Though Regulation 13 and Articles 5625 </w:t>
      </w:r>
      <w:r w:rsidR="00182FEB">
        <w:t xml:space="preserve">are </w:t>
      </w:r>
      <w:r w:rsidRPr="00622CFC">
        <w:t xml:space="preserve">insistent on clear and express permission, clear processing, and privacy controls internalized, the company was entirely using disjointed Gmail address books and lacked a single data store or automated data degaussing, thus the process of violating legal obligations was open to human intervention. This indicates a necessity to provide more specifications of how Privacy by Design principles are to be implemented and to have more robust audit strategies to ascertain whether both the ePrivacy and GDPR </w:t>
      </w:r>
      <w:r w:rsidR="002E6CA0">
        <w:t>requirements</w:t>
      </w:r>
      <w:r w:rsidRPr="00622CFC">
        <w:t xml:space="preserve"> are met</w:t>
      </w:r>
      <w:r w:rsidR="0092707C">
        <w:t xml:space="preserve"> [6]</w:t>
      </w:r>
      <w:r w:rsidRPr="00622CFC">
        <w:t>.</w:t>
      </w:r>
    </w:p>
    <w:p w14:paraId="235C72C9" w14:textId="77777777" w:rsidR="002F0262" w:rsidRPr="00622CFC" w:rsidRDefault="002F0262" w:rsidP="002F0262">
      <w:pPr>
        <w:rPr>
          <w:sz w:val="26"/>
          <w:szCs w:val="26"/>
        </w:rPr>
      </w:pPr>
    </w:p>
    <w:p w14:paraId="744FB13C" w14:textId="09351C56" w:rsidR="00A11A48" w:rsidRPr="00ED1641" w:rsidRDefault="002F0262" w:rsidP="002F0262">
      <w:r w:rsidRPr="00622CFC">
        <w:t>Case Study 10: 2022 year</w:t>
      </w:r>
    </w:p>
    <w:p w14:paraId="67827B55" w14:textId="77777777" w:rsidR="002F0262" w:rsidRPr="00595312" w:rsidRDefault="002F0262" w:rsidP="00ED1641">
      <w:pPr>
        <w:pStyle w:val="Heading1"/>
        <w:rPr>
          <w:rFonts w:eastAsia="Roboto"/>
          <w:i/>
          <w:iCs/>
        </w:rPr>
      </w:pPr>
      <w:bookmarkStart w:id="1" w:name="_fc7vtdakwm07" w:colFirst="0" w:colLast="0"/>
      <w:bookmarkEnd w:id="1"/>
      <w:r w:rsidRPr="00595312">
        <w:rPr>
          <w:rFonts w:eastAsia="Roboto"/>
        </w:rPr>
        <w:lastRenderedPageBreak/>
        <w:t>Section 2: Data Privacy &amp; Protection in Electronic Marketing</w:t>
      </w:r>
    </w:p>
    <w:p w14:paraId="7C69880B" w14:textId="77951B15" w:rsidR="00A0223E" w:rsidRPr="00A0223E" w:rsidRDefault="002F0262" w:rsidP="00A0223E">
      <w:pPr>
        <w:rPr>
          <w:rFonts w:eastAsia="Roboto"/>
        </w:rPr>
      </w:pPr>
      <w:r w:rsidRPr="00622CFC">
        <w:rPr>
          <w:rFonts w:eastAsia="Roboto"/>
        </w:rPr>
        <w:t>The data lifecycle at Guerin Media Limited comprised two primary repositories: the formal marketing database</w:t>
      </w:r>
      <w:r w:rsidR="007A4518">
        <w:rPr>
          <w:rFonts w:eastAsia="Roboto"/>
        </w:rPr>
        <w:t xml:space="preserve"> </w:t>
      </w:r>
      <w:r w:rsidRPr="00622CFC">
        <w:rPr>
          <w:rFonts w:eastAsia="Roboto"/>
        </w:rPr>
        <w:t>populated via opt-in web forms</w:t>
      </w:r>
      <w:r w:rsidR="007A4518">
        <w:rPr>
          <w:rFonts w:eastAsia="Roboto"/>
        </w:rPr>
        <w:t xml:space="preserve">, </w:t>
      </w:r>
      <w:r w:rsidRPr="00622CFC">
        <w:rPr>
          <w:rFonts w:eastAsia="Roboto"/>
        </w:rPr>
        <w:t xml:space="preserve">and a secondary Gmail contact list, manually updated outside official workflows. </w:t>
      </w:r>
      <w:r w:rsidR="00A0223E" w:rsidRPr="00A0223E">
        <w:rPr>
          <w:rFonts w:eastAsia="Roboto"/>
        </w:rPr>
        <w:t>When the subscribers were unsubscribed, their addresses were deleted from the marketing list but not from the Gmail list, resulting in the persistence of unwanted mailings.</w:t>
      </w:r>
    </w:p>
    <w:p w14:paraId="575A5179" w14:textId="77777777" w:rsidR="00A0223E" w:rsidRPr="00A0223E" w:rsidRDefault="00A0223E" w:rsidP="00A0223E">
      <w:pPr>
        <w:rPr>
          <w:rFonts w:eastAsia="Roboto"/>
          <w:b/>
          <w:bCs/>
          <w:sz w:val="28"/>
          <w:szCs w:val="28"/>
        </w:rPr>
      </w:pPr>
      <w:r w:rsidRPr="00A0223E">
        <w:rPr>
          <w:rFonts w:eastAsia="Roboto"/>
          <w:b/>
          <w:bCs/>
          <w:sz w:val="28"/>
          <w:szCs w:val="28"/>
        </w:rPr>
        <w:t>2.1 Deficiencies Identified</w:t>
      </w:r>
    </w:p>
    <w:p w14:paraId="3EF4717D" w14:textId="77777777" w:rsidR="00A0223E" w:rsidRPr="00A0223E" w:rsidRDefault="00A0223E" w:rsidP="00A0223E">
      <w:pPr>
        <w:rPr>
          <w:rFonts w:eastAsia="Roboto"/>
        </w:rPr>
      </w:pPr>
      <w:r w:rsidRPr="00A0223E">
        <w:rPr>
          <w:rFonts w:eastAsia="Roboto"/>
        </w:rPr>
        <w:t>• Segmented Storage: Non-integrated systems were not synchronized, which was against the confidentiality and integrity requirements of the GDPR.</w:t>
      </w:r>
    </w:p>
    <w:p w14:paraId="42B29CC8" w14:textId="77777777" w:rsidR="00A0223E" w:rsidRPr="00A0223E" w:rsidRDefault="00A0223E" w:rsidP="00A0223E">
      <w:pPr>
        <w:rPr>
          <w:rFonts w:eastAsia="Roboto"/>
        </w:rPr>
      </w:pPr>
      <w:r w:rsidRPr="00A0223E">
        <w:rPr>
          <w:rFonts w:eastAsia="Roboto"/>
        </w:rPr>
        <w:t>• Human Processes: Excessive dependence on human-process-based processes without default checks contravened the mandate of responsibility and proof of compliance.</w:t>
      </w:r>
    </w:p>
    <w:p w14:paraId="2B582159" w14:textId="59356C5D" w:rsidR="00D52504" w:rsidRPr="00622CFC" w:rsidRDefault="00A0223E" w:rsidP="00A0223E">
      <w:r w:rsidRPr="00A0223E">
        <w:rPr>
          <w:rFonts w:eastAsia="Roboto"/>
        </w:rPr>
        <w:t>• No Audit Trails: The absence of consent withdrawal logging hampered transparency and the implementation of Data Subject Rights.</w:t>
      </w:r>
    </w:p>
    <w:p w14:paraId="01320BC0" w14:textId="77777777" w:rsidR="002F0262" w:rsidRPr="006A077E" w:rsidRDefault="002F0262" w:rsidP="006A077E">
      <w:pPr>
        <w:pStyle w:val="Heading20"/>
      </w:pPr>
      <w:bookmarkStart w:id="2" w:name="_xi9wvjq263st" w:colFirst="0" w:colLast="0"/>
      <w:bookmarkEnd w:id="2"/>
      <w:r w:rsidRPr="006A077E">
        <w:t>2.2 Applicable Regulatory Regimes</w:t>
      </w:r>
    </w:p>
    <w:p w14:paraId="0D45EE2B" w14:textId="77777777" w:rsidR="00D52504" w:rsidRDefault="002F0262" w:rsidP="0032385A">
      <w:pPr>
        <w:ind w:firstLine="720"/>
        <w:rPr>
          <w:rFonts w:eastAsia="Roboto"/>
        </w:rPr>
      </w:pPr>
      <w:r w:rsidRPr="00313698">
        <w:rPr>
          <w:rFonts w:eastAsia="Roboto"/>
        </w:rPr>
        <w:t>GDPR Article 5 mandates that personal data be “processed lawfully, fairly and in a transparent manner” and ensures “integrity and confidentiality” through appropriate technical and organizational measures</w:t>
      </w:r>
      <w:r w:rsidR="000D48C1">
        <w:rPr>
          <w:rFonts w:eastAsia="Roboto"/>
        </w:rPr>
        <w:t xml:space="preserve"> [11]</w:t>
      </w:r>
      <w:r w:rsidR="00FA4E09">
        <w:rPr>
          <w:rFonts w:eastAsia="Roboto"/>
        </w:rPr>
        <w:t>.</w:t>
      </w:r>
      <w:r w:rsidR="000A7D62">
        <w:rPr>
          <w:rFonts w:eastAsia="Roboto"/>
        </w:rPr>
        <w:t xml:space="preserve"> </w:t>
      </w:r>
      <w:r w:rsidRPr="00313698">
        <w:rPr>
          <w:rFonts w:eastAsia="Roboto"/>
        </w:rPr>
        <w:t>Refer to bullets (a) and (f).</w:t>
      </w:r>
    </w:p>
    <w:p w14:paraId="33E89052" w14:textId="45F0A132" w:rsidR="002F0262" w:rsidRPr="000A7D62" w:rsidRDefault="002F0262" w:rsidP="0032385A">
      <w:pPr>
        <w:ind w:firstLine="720"/>
        <w:rPr>
          <w:rFonts w:eastAsia="Roboto"/>
        </w:rPr>
      </w:pPr>
      <w:r w:rsidRPr="00622CFC">
        <w:rPr>
          <w:rFonts w:eastAsia="Roboto"/>
        </w:rPr>
        <w:t xml:space="preserve">GDPR Articles 12 require clear, accessible privacy notices and transparent communication of data processing activities to data subjects </w:t>
      </w:r>
      <w:r w:rsidR="001B0B84">
        <w:rPr>
          <w:rFonts w:eastAsia="Roboto"/>
        </w:rPr>
        <w:t>[12].</w:t>
      </w:r>
      <w:r w:rsidR="00D52504">
        <w:rPr>
          <w:rFonts w:eastAsia="Roboto"/>
        </w:rPr>
        <w:t xml:space="preserve"> </w:t>
      </w:r>
      <w:r w:rsidRPr="00622CFC">
        <w:rPr>
          <w:rFonts w:eastAsia="Roboto"/>
        </w:rPr>
        <w:t xml:space="preserve">GDPR </w:t>
      </w:r>
      <w:r w:rsidR="007A4518">
        <w:rPr>
          <w:rFonts w:eastAsia="Roboto"/>
        </w:rPr>
        <w:t>Article</w:t>
      </w:r>
      <w:r w:rsidRPr="00622CFC">
        <w:rPr>
          <w:rFonts w:eastAsia="Roboto"/>
        </w:rPr>
        <w:t xml:space="preserve"> 15 </w:t>
      </w:r>
      <w:r w:rsidR="008E1C0A">
        <w:rPr>
          <w:rFonts w:eastAsia="Roboto"/>
        </w:rPr>
        <w:t>grants</w:t>
      </w:r>
      <w:r w:rsidRPr="00622CFC">
        <w:rPr>
          <w:rFonts w:eastAsia="Roboto"/>
        </w:rPr>
        <w:t xml:space="preserve"> data subjects rights of access, rectification, erasure (right to be forgotten), and restriction of processing, all of which hinge on accurate data inventories and audit logs</w:t>
      </w:r>
      <w:r w:rsidR="001A10F7">
        <w:rPr>
          <w:rFonts w:eastAsia="Roboto"/>
        </w:rPr>
        <w:t xml:space="preserve"> [13]</w:t>
      </w:r>
      <w:r w:rsidR="00B830BA">
        <w:rPr>
          <w:rFonts w:eastAsia="Roboto"/>
        </w:rPr>
        <w:t>.</w:t>
      </w:r>
      <w:r w:rsidR="00D52504">
        <w:rPr>
          <w:rFonts w:eastAsia="Roboto"/>
        </w:rPr>
        <w:t xml:space="preserve"> </w:t>
      </w:r>
      <w:r w:rsidRPr="00622CFC">
        <w:rPr>
          <w:rFonts w:eastAsia="Roboto"/>
        </w:rPr>
        <w:t>Organisations must embed privacy controls, including data deletion controls and consent checks by default, into their systems at the design stage as per GDPR Article 25</w:t>
      </w:r>
      <w:r w:rsidR="00346E9B">
        <w:rPr>
          <w:rFonts w:eastAsia="Roboto"/>
        </w:rPr>
        <w:t xml:space="preserve"> [14]</w:t>
      </w:r>
      <w:r w:rsidR="00B830BA">
        <w:rPr>
          <w:rFonts w:eastAsia="Roboto"/>
        </w:rPr>
        <w:t xml:space="preserve">. </w:t>
      </w:r>
      <w:r w:rsidRPr="00622CFC">
        <w:rPr>
          <w:rFonts w:eastAsia="Roboto"/>
        </w:rPr>
        <w:t>Apart from GDPR consent requirements for direct marketing communications, ePrivacy Regulation 13 does not provide for unsolicited electronic communications when there is no express consent or exception on legitimate interests</w:t>
      </w:r>
      <w:r w:rsidR="003C1E68">
        <w:rPr>
          <w:rFonts w:eastAsia="Roboto"/>
        </w:rPr>
        <w:t xml:space="preserve"> [15]</w:t>
      </w:r>
      <w:r w:rsidRPr="00622CFC">
        <w:rPr>
          <w:rFonts w:eastAsia="Roboto"/>
        </w:rPr>
        <w:t>.</w:t>
      </w:r>
    </w:p>
    <w:p w14:paraId="12C93482" w14:textId="6037777D" w:rsidR="002F0262" w:rsidRPr="00622CFC" w:rsidRDefault="002F0262" w:rsidP="00D15F6E">
      <w:pPr>
        <w:pStyle w:val="Heading20"/>
      </w:pPr>
      <w:r w:rsidRPr="00622CFC">
        <w:t>2.3 Critical Analysis</w:t>
      </w:r>
    </w:p>
    <w:p w14:paraId="54C24CC9" w14:textId="5F33E675" w:rsidR="002F0262" w:rsidRPr="00E9398A" w:rsidRDefault="002F0262" w:rsidP="00E9398A">
      <w:pPr>
        <w:spacing w:before="120" w:after="120"/>
        <w:ind w:firstLine="720"/>
        <w:rPr>
          <w:rFonts w:eastAsia="Roboto"/>
        </w:rPr>
      </w:pPr>
      <w:r w:rsidRPr="00440AF5">
        <w:rPr>
          <w:rFonts w:eastAsia="Roboto"/>
        </w:rPr>
        <w:t>Articles 5, 12, 15, and 25 of the GDPR are gravely violated by Guerin Media's merging of contact lists. The fundamental principles of data processing</w:t>
      </w:r>
      <w:r w:rsidR="00461B8E">
        <w:rPr>
          <w:rFonts w:eastAsia="Roboto"/>
        </w:rPr>
        <w:t xml:space="preserve"> </w:t>
      </w:r>
      <w:r w:rsidR="00301EAD">
        <w:rPr>
          <w:rFonts w:eastAsia="Roboto"/>
        </w:rPr>
        <w:t xml:space="preserve">are </w:t>
      </w:r>
      <w:r w:rsidRPr="00440AF5">
        <w:rPr>
          <w:rFonts w:eastAsia="Roboto"/>
        </w:rPr>
        <w:t>integrity, confidentiality, and accountability</w:t>
      </w:r>
      <w:r w:rsidR="007A4518">
        <w:rPr>
          <w:rFonts w:eastAsia="Roboto"/>
        </w:rPr>
        <w:t>,</w:t>
      </w:r>
      <w:r w:rsidR="00301EAD">
        <w:rPr>
          <w:rFonts w:eastAsia="Roboto"/>
        </w:rPr>
        <w:t xml:space="preserve"> which are </w:t>
      </w:r>
      <w:r w:rsidRPr="00440AF5">
        <w:rPr>
          <w:rFonts w:eastAsia="Roboto"/>
        </w:rPr>
        <w:t>described in Article 5</w:t>
      </w:r>
      <w:r w:rsidR="007A4518">
        <w:rPr>
          <w:rFonts w:eastAsia="Roboto"/>
        </w:rPr>
        <w:t>,</w:t>
      </w:r>
      <w:r w:rsidRPr="00440AF5">
        <w:rPr>
          <w:rFonts w:eastAsia="Roboto"/>
        </w:rPr>
        <w:t xml:space="preserve"> have been violated as a result of the failure to implement the organizational and technical safeguards required to guarantee the safe and lawful processing of personal data. Lack of automated procedures for consent collection and deletion results in </w:t>
      </w:r>
      <w:r w:rsidRPr="00440AF5">
        <w:rPr>
          <w:rFonts w:eastAsia="Roboto"/>
        </w:rPr>
        <w:lastRenderedPageBreak/>
        <w:t>inadequate data minimization and retention periods since the data of those who unsubscribed was kept longer than required, putting it at further risk of processing illegally or without their consent.</w:t>
      </w:r>
      <w:r w:rsidRPr="00440AF5">
        <w:t xml:space="preserve"> </w:t>
      </w:r>
      <w:r w:rsidRPr="00440AF5">
        <w:rPr>
          <w:rFonts w:eastAsia="Roboto"/>
        </w:rPr>
        <w:t>Article 12, which provides for the data subjects to be informed in a transparent, clear and concise way so that they can properly exercise their rights, is also violated by the failure to provide clear and transparent information regarding the rights of the users. The inability to unsubscribe and have an audited trail as well, by Guerin Media, also breaches Article 15, which grants citizens a right to be informed regarding how their data is processed and their rights of correction, erasure, or processing to a lesser extent. Because there had been no open process or disclosure regarding the collection of their own private data, and no interface with consented mechanisms, people were denied the power to control their own information.</w:t>
      </w:r>
      <w:r w:rsidRPr="00440AF5">
        <w:t xml:space="preserve"> </w:t>
      </w:r>
      <w:r w:rsidRPr="00440AF5">
        <w:rPr>
          <w:rFonts w:eastAsia="Roboto"/>
        </w:rPr>
        <w:t>The failure of the system to adhere to Privacy by Design and Default as stipulated in Article 25 signifies a severe data protection shortcoming at design time. The use of processes that lack built-in security by the organization has made it susceptible to cyberattacks that arise from improper communication and human mistakes, in contrast to the GDPR where compliance is necessary during the entire life cycle of processing. First, new data processing practices should be established by Guerin Media in terms of the automatic deletion of information, real-time management of consent mechanisms, and periodic auditing practices to reinstall compliance and protect the rights of data subjects.</w:t>
      </w:r>
      <w:r w:rsidRPr="00440AF5">
        <w:t xml:space="preserve"> </w:t>
      </w:r>
      <w:r w:rsidRPr="00440AF5">
        <w:rPr>
          <w:rFonts w:eastAsia="Roboto"/>
        </w:rPr>
        <w:t>The justification for the adoption of consent management software, privacy dashboards, and transparency tools is that the aforementioned tools not only would stimulate compliance and accountability with the requirements of GDPR but also would generate additional user trust as a byproduct of data processing in a lawful, fair, and transparent manner</w:t>
      </w:r>
      <w:r w:rsidRPr="00595312">
        <w:rPr>
          <w:rFonts w:eastAsia="Roboto"/>
          <w:sz w:val="26"/>
          <w:szCs w:val="26"/>
          <w:lang w:val="en-IN"/>
        </w:rPr>
        <w:t xml:space="preserve"> </w:t>
      </w:r>
      <w:r w:rsidRPr="00440AF5">
        <w:rPr>
          <w:rFonts w:eastAsia="Roboto"/>
        </w:rPr>
        <w:t>throughout its lifecycle.</w:t>
      </w:r>
    </w:p>
    <w:p w14:paraId="3D089934" w14:textId="77777777" w:rsidR="002F0262" w:rsidRPr="00EB2D31" w:rsidRDefault="002F0262" w:rsidP="00EB2D31">
      <w:pPr>
        <w:pStyle w:val="Heading1"/>
        <w:rPr>
          <w:rFonts w:eastAsia="Roboto"/>
        </w:rPr>
      </w:pPr>
      <w:r w:rsidRPr="00EB2D31">
        <w:rPr>
          <w:rFonts w:eastAsia="Roboto"/>
        </w:rPr>
        <w:t>Section 3: Ethical, Legal &amp; Social Implications of Unsolicited Marketing</w:t>
      </w:r>
    </w:p>
    <w:p w14:paraId="0DEA4619" w14:textId="79450319" w:rsidR="002F0262" w:rsidRPr="00595312" w:rsidRDefault="002F0262" w:rsidP="00060470">
      <w:pPr>
        <w:ind w:firstLine="720"/>
        <w:rPr>
          <w:rFonts w:eastAsia="Roboto"/>
        </w:rPr>
      </w:pPr>
      <w:r w:rsidRPr="00595312">
        <w:rPr>
          <w:rFonts w:eastAsia="Roboto"/>
        </w:rPr>
        <w:t>This part provides the consideration of ethical, legal, and social implications of the default by Guerin Media Limited to comply with consent revocations</w:t>
      </w:r>
      <w:r w:rsidR="00B629DD">
        <w:rPr>
          <w:rFonts w:eastAsia="Roboto"/>
        </w:rPr>
        <w:t>,</w:t>
      </w:r>
      <w:r w:rsidRPr="00595312">
        <w:rPr>
          <w:rFonts w:eastAsia="Roboto"/>
        </w:rPr>
        <w:t xml:space="preserve"> judging the effects on the rights of individuals, societal confidence, and institutional ethical standards in accordance with SDG 16.</w:t>
      </w:r>
    </w:p>
    <w:p w14:paraId="6F8FD744" w14:textId="77777777" w:rsidR="002F0262" w:rsidRPr="00595312" w:rsidRDefault="002F0262" w:rsidP="00B629DD">
      <w:pPr>
        <w:pStyle w:val="Heading20"/>
      </w:pPr>
      <w:r w:rsidRPr="00595312">
        <w:t>3.1 Ethical Implications</w:t>
      </w:r>
    </w:p>
    <w:p w14:paraId="7C422FA7" w14:textId="77777777" w:rsidR="002F0262" w:rsidRPr="00595312" w:rsidRDefault="002F0262" w:rsidP="0017228D">
      <w:pPr>
        <w:ind w:firstLine="720"/>
        <w:rPr>
          <w:rFonts w:eastAsia="Roboto"/>
        </w:rPr>
      </w:pPr>
      <w:r w:rsidRPr="00595312">
        <w:rPr>
          <w:rFonts w:eastAsia="Roboto"/>
        </w:rPr>
        <w:t>Consent and Autonomy: It is a violation of individual self-determination to keep e-mailing even after unsubscribe. In Floridi and Taddeo on the importance of respecting human rights in data projects, it begins with the following:</w:t>
      </w:r>
    </w:p>
    <w:p w14:paraId="122B25DD" w14:textId="14E26F82" w:rsidR="002F0262" w:rsidRPr="00595312" w:rsidRDefault="002F0262" w:rsidP="00B629DD">
      <w:pPr>
        <w:rPr>
          <w:rFonts w:eastAsia="Roboto"/>
        </w:rPr>
      </w:pPr>
      <w:r w:rsidRPr="00595312">
        <w:rPr>
          <w:rFonts w:eastAsia="Roboto"/>
        </w:rPr>
        <w:t>“It is possible to resolve these ethical issues.</w:t>
      </w:r>
      <w:r w:rsidR="00BA2ACE">
        <w:rPr>
          <w:rFonts w:eastAsia="Roboto"/>
        </w:rPr>
        <w:t>[</w:t>
      </w:r>
      <w:r w:rsidR="009A2A9D">
        <w:rPr>
          <w:rFonts w:eastAsia="Roboto"/>
        </w:rPr>
        <w:t>3</w:t>
      </w:r>
      <w:r w:rsidR="00BA2ACE">
        <w:rPr>
          <w:rFonts w:eastAsia="Roboto"/>
        </w:rPr>
        <w:t>]”</w:t>
      </w:r>
    </w:p>
    <w:p w14:paraId="002B8E58" w14:textId="1206225B" w:rsidR="002F0262" w:rsidRPr="00595312" w:rsidRDefault="002F0262" w:rsidP="00B629DD">
      <w:pPr>
        <w:rPr>
          <w:rFonts w:eastAsia="Roboto"/>
        </w:rPr>
      </w:pPr>
      <w:r w:rsidRPr="00595312">
        <w:rPr>
          <w:rFonts w:eastAsia="Roboto"/>
        </w:rPr>
        <w:t>Openness and Fidelity: It is unethical to disregard opt-out requests; the ACM Code requires the processing activities to be communicated openly</w:t>
      </w:r>
      <w:r w:rsidR="002E22BA">
        <w:rPr>
          <w:rFonts w:eastAsia="Roboto"/>
        </w:rPr>
        <w:t xml:space="preserve"> [16]</w:t>
      </w:r>
      <w:r w:rsidRPr="00595312">
        <w:rPr>
          <w:rFonts w:eastAsia="Roboto"/>
        </w:rPr>
        <w:t>.</w:t>
      </w:r>
    </w:p>
    <w:p w14:paraId="5A2D36D9" w14:textId="61AFA28A" w:rsidR="00595312" w:rsidRPr="00595312" w:rsidRDefault="002F0262" w:rsidP="00B629DD">
      <w:pPr>
        <w:pStyle w:val="Heading20"/>
      </w:pPr>
      <w:r w:rsidRPr="00595312">
        <w:lastRenderedPageBreak/>
        <w:t>3.2 Legal Implications</w:t>
      </w:r>
    </w:p>
    <w:p w14:paraId="08201201" w14:textId="77777777" w:rsidR="002F0262" w:rsidRPr="00595312" w:rsidRDefault="002F0262" w:rsidP="0017228D">
      <w:pPr>
        <w:ind w:firstLine="720"/>
        <w:rPr>
          <w:rFonts w:eastAsia="Roboto"/>
        </w:rPr>
      </w:pPr>
      <w:r w:rsidRPr="00595312">
        <w:rPr>
          <w:rFonts w:eastAsia="Roboto"/>
        </w:rPr>
        <w:t>Numerous requirements of the General Data Protection Regulation and other European data protection legislation are grossly violated by Guerin Media's conduct.  Supervisory authorities may impose an administrative fine of up to €20 million or 4% of the total worldwide annual turnover of the previous financial year, whichever is higher, in cases of serious violations under Article 83 of the GDPR. On failure to abide by the core principles of legal processing, consent management, and data subject rights, these penalties are intended to bring about responsibility, proportion, and deterrence but not as a matter of punishment.  Because it affects user trust and data integrity, non-compliance on the part of Guerin Media with regard to respect for the right to erasure, appropriate consent records, and blocking unauthorized communications can be taken to be a serious offense in this context.</w:t>
      </w:r>
    </w:p>
    <w:p w14:paraId="515F633D" w14:textId="3A7B9C54" w:rsidR="002F0262" w:rsidRPr="00595312" w:rsidRDefault="002F0262" w:rsidP="00C8180B">
      <w:pPr>
        <w:rPr>
          <w:rFonts w:eastAsia="Roboto"/>
        </w:rPr>
      </w:pPr>
      <w:r w:rsidRPr="00595312">
        <w:rPr>
          <w:rFonts w:eastAsia="Roboto"/>
        </w:rPr>
        <w:t xml:space="preserve">Furthermore, the nature, severity, duration, and intention of the infringement need to be determined in order to establish the level of the sanction, according to EU Regulation 679/2016, Article 83.  Persistent failure to comply with basic principles of privacy, such as failing to design automatic deletion and </w:t>
      </w:r>
      <w:r w:rsidR="003901EB">
        <w:rPr>
          <w:rFonts w:eastAsia="Roboto"/>
        </w:rPr>
        <w:t>unsubscribe</w:t>
      </w:r>
      <w:r w:rsidRPr="00595312">
        <w:rPr>
          <w:rFonts w:eastAsia="Roboto"/>
        </w:rPr>
        <w:t xml:space="preserve"> mechanisms, manifests the controller's negligence. In addition, the ePrivacy Regulation and </w:t>
      </w:r>
      <w:r w:rsidR="003901EB">
        <w:rPr>
          <w:rFonts w:eastAsia="Roboto"/>
        </w:rPr>
        <w:t xml:space="preserve">the </w:t>
      </w:r>
      <w:r w:rsidRPr="00595312">
        <w:rPr>
          <w:rFonts w:eastAsia="Roboto"/>
        </w:rPr>
        <w:t>implementing Irish law SI 336/2011, Regulation 13(6), provide some of the sanctions for unauthorized communications, such as unsolicited marketing communications or spam emails.  In these regards, continued non-compliance not only reduces consumer protection but also heightens regulator focus and the sanctions for failure to comply.</w:t>
      </w:r>
    </w:p>
    <w:p w14:paraId="10CE8BCE" w14:textId="77777777" w:rsidR="00DE0F83" w:rsidRPr="00DE0F83" w:rsidRDefault="002F0262" w:rsidP="00DE0F83">
      <w:pPr>
        <w:rPr>
          <w:rFonts w:eastAsia="Roboto"/>
        </w:rPr>
      </w:pPr>
      <w:r w:rsidRPr="00595312">
        <w:rPr>
          <w:rFonts w:eastAsia="Roboto"/>
        </w:rPr>
        <w:t xml:space="preserve">Guerin Media has violated GDPR Article 6(1)(a), where processing is to be carried out only on clear consent, and Article 21, </w:t>
      </w:r>
      <w:r w:rsidR="003901EB">
        <w:rPr>
          <w:rFonts w:eastAsia="Roboto"/>
        </w:rPr>
        <w:t>which</w:t>
      </w:r>
      <w:r w:rsidRPr="00595312">
        <w:rPr>
          <w:rFonts w:eastAsia="Roboto"/>
        </w:rPr>
        <w:t xml:space="preserve"> it gives data subjects the right to object to direct marketing, by constant contact with opt-outs. Failure to implement the organisational and technical measures set in Article 32, and the general obligation in Article 5(2), can be observed in the sense that the company lacks internal automated measures to address such failures. Such non-compliance subjects the company to massive regulatory penalties, reputational damage, as well as potential suspension of its data processing activities from the regulatory point of view. </w:t>
      </w:r>
      <w:r w:rsidR="00DE0F83" w:rsidRPr="00DE0F83">
        <w:rPr>
          <w:rFonts w:eastAsia="Roboto"/>
        </w:rPr>
        <w:t>Legally, the absence of Privacy by Design (Article 25) from the company's data protection system is evidently illustrated by way of its inaction. To remedy the very same gaps, these violations risk subjecting Guerin Media to severe regulatory and financial penalties, signifying a drastic failure to abide by European data protection law [1], [17].</w:t>
      </w:r>
    </w:p>
    <w:p w14:paraId="5ED6186E" w14:textId="77777777" w:rsidR="00DE0F83" w:rsidRPr="00DE0F83" w:rsidRDefault="00DE0F83" w:rsidP="00DE0F83">
      <w:pPr>
        <w:rPr>
          <w:rFonts w:eastAsia="Roboto"/>
          <w:b/>
          <w:bCs/>
          <w:sz w:val="28"/>
          <w:szCs w:val="28"/>
        </w:rPr>
      </w:pPr>
      <w:r w:rsidRPr="00DE0F83">
        <w:rPr>
          <w:rFonts w:eastAsia="Roboto"/>
          <w:b/>
          <w:bCs/>
          <w:sz w:val="28"/>
          <w:szCs w:val="28"/>
        </w:rPr>
        <w:t>3.3 Social Implications</w:t>
      </w:r>
    </w:p>
    <w:p w14:paraId="536F01D0" w14:textId="56740F73" w:rsidR="00DE0F83" w:rsidRPr="00595312" w:rsidRDefault="00DE0F83" w:rsidP="00DE0F83">
      <w:pPr>
        <w:rPr>
          <w:rFonts w:eastAsia="Roboto"/>
        </w:rPr>
      </w:pPr>
      <w:r w:rsidRPr="00DE0F83">
        <w:rPr>
          <w:rFonts w:eastAsia="Roboto"/>
        </w:rPr>
        <w:t>Guerin Media's negligence has wider societal and ethical as well as legal implications with direct effects on customer trust, business reputation, and the wider online society. The organization's follow-up communications to individuals who have legally withdrawn consent are contrary to the GDPR itself, namely, data subject rights, namely the right to erasure, or the "right to be forgotten."</w:t>
      </w:r>
    </w:p>
    <w:p w14:paraId="36DCA52E" w14:textId="16471499" w:rsidR="002F0262" w:rsidRPr="00595312" w:rsidRDefault="002F0262" w:rsidP="00646B6C">
      <w:pPr>
        <w:rPr>
          <w:rFonts w:eastAsia="Roboto"/>
        </w:rPr>
      </w:pPr>
      <w:r w:rsidRPr="00595312">
        <w:rPr>
          <w:rFonts w:eastAsia="Roboto"/>
        </w:rPr>
        <w:t>Where such requests are ignored by companies, individuals lose faith in their ability to control their personal data and do not feel that their privacy choices are being respected. Its consumers are made powerless against corporate exploitation of their data, an overall cultural dread of losing control in the information age</w:t>
      </w:r>
      <w:r w:rsidR="001C784C">
        <w:rPr>
          <w:rFonts w:eastAsia="Roboto"/>
        </w:rPr>
        <w:t xml:space="preserve"> [18]</w:t>
      </w:r>
      <w:r w:rsidRPr="00595312">
        <w:rPr>
          <w:rFonts w:eastAsia="Roboto"/>
        </w:rPr>
        <w:t>.</w:t>
      </w:r>
    </w:p>
    <w:p w14:paraId="428E962C" w14:textId="77777777" w:rsidR="00E67B9F" w:rsidRPr="00E67B9F" w:rsidRDefault="002F0262" w:rsidP="00E67B9F">
      <w:pPr>
        <w:rPr>
          <w:rFonts w:eastAsia="Roboto"/>
        </w:rPr>
      </w:pPr>
      <w:r w:rsidRPr="00595312">
        <w:rPr>
          <w:rFonts w:eastAsia="Roboto"/>
        </w:rPr>
        <w:t xml:space="preserve">Loss of consumer confidence translates to loss of trust in institutions. As stipulated by Sustainable Development Goal 16, there are strong and transparent institutions that are the bulwarks of justice, peace, and good governance. Without ethical and legal information practices that attach greater weight to transparency than secrecy, that intention is weakened. Public confidence is tainted when business organizations and government agencies are accused of information abuse or misuse. </w:t>
      </w:r>
      <w:r w:rsidR="00E67B9F" w:rsidRPr="00E67B9F">
        <w:rPr>
          <w:rFonts w:eastAsia="Roboto"/>
        </w:rPr>
        <w:t>All this erosion of trust has the consequence of leading others to lose interest in other websites too and begin questioning the genuineness of the "web-based consent process."</w:t>
      </w:r>
    </w:p>
    <w:p w14:paraId="2D2FFADC" w14:textId="7323FF1B" w:rsidR="0050475D" w:rsidRDefault="00E67B9F" w:rsidP="00E67B9F">
      <w:pPr>
        <w:rPr>
          <w:rFonts w:eastAsia="Roboto"/>
        </w:rPr>
      </w:pPr>
      <w:r w:rsidRPr="00E67B9F">
        <w:rPr>
          <w:rFonts w:eastAsia="Roboto"/>
        </w:rPr>
        <w:t>Also, disadvantage groups that are weaker, older, or technophobes are significantly exploited by data control loopholes because they are unable to complain about abuse or defend themselves. Not offering simple unsubscribe links, auto-remove data features, or simple contact media with a user-focused approach in terms of the happiness and well-being of the user is a prime example of corporate social responsibility failure. If net activity must be founded on informed choice and de facto empowerment of the users, then do corporations have a moral duty to deal with user data in a manner that respects the privacy and dignity of the users. Guerin Media's routine abuse of the most basic right to privacy and dignity is therefore not only illegal but moral in nature [18].</w:t>
      </w:r>
    </w:p>
    <w:p w14:paraId="23124648" w14:textId="77777777" w:rsidR="00B6294F" w:rsidRPr="00595312" w:rsidRDefault="00B6294F" w:rsidP="00646B6C">
      <w:pPr>
        <w:rPr>
          <w:rFonts w:eastAsia="Roboto"/>
        </w:rPr>
      </w:pPr>
    </w:p>
    <w:p w14:paraId="353BDE3C" w14:textId="77777777" w:rsidR="00B6294F" w:rsidRDefault="002F0262" w:rsidP="00491215">
      <w:pPr>
        <w:rPr>
          <w:rFonts w:eastAsia="Roboto"/>
          <w:b/>
          <w:bCs/>
        </w:rPr>
      </w:pPr>
      <w:r w:rsidRPr="00595312">
        <w:rPr>
          <w:rFonts w:eastAsia="Roboto"/>
          <w:b/>
          <w:bCs/>
        </w:rPr>
        <w:t>3.4 Critical Analysis</w:t>
      </w:r>
    </w:p>
    <w:p w14:paraId="78954FBB" w14:textId="6F8048AB" w:rsidR="002F0262" w:rsidRPr="00491215" w:rsidRDefault="002F0262" w:rsidP="00B6294F">
      <w:pPr>
        <w:ind w:firstLine="720"/>
        <w:rPr>
          <w:rFonts w:eastAsia="Roboto"/>
          <w:b/>
          <w:bCs/>
          <w:sz w:val="28"/>
          <w:szCs w:val="32"/>
        </w:rPr>
      </w:pPr>
      <w:r w:rsidRPr="00595312">
        <w:rPr>
          <w:rFonts w:eastAsia="Roboto"/>
        </w:rPr>
        <w:t xml:space="preserve">Guerin Media's practice of sending </w:t>
      </w:r>
      <w:r w:rsidR="00FE3221">
        <w:rPr>
          <w:rFonts w:eastAsia="Roboto"/>
        </w:rPr>
        <w:t>emails</w:t>
      </w:r>
      <w:r w:rsidRPr="00595312">
        <w:rPr>
          <w:rFonts w:eastAsia="Roboto"/>
        </w:rPr>
        <w:t xml:space="preserve"> to those who have opted out is a blatant disregard of social, legal, and ethical </w:t>
      </w:r>
      <w:r w:rsidR="00FE3221">
        <w:rPr>
          <w:rFonts w:eastAsia="Roboto"/>
        </w:rPr>
        <w:t>conventions</w:t>
      </w:r>
      <w:r w:rsidRPr="00595312">
        <w:rPr>
          <w:rFonts w:eastAsia="Roboto"/>
        </w:rPr>
        <w:t xml:space="preserve">. Ethically, norms of modern data protection founded on consent, transparency, and respect for agency have been completely ignored. Ethical companies ought to be in the respect business, </w:t>
      </w:r>
      <w:r w:rsidR="004A2C05">
        <w:rPr>
          <w:rFonts w:eastAsia="Roboto"/>
        </w:rPr>
        <w:t>such as</w:t>
      </w:r>
      <w:r w:rsidRPr="00595312">
        <w:rPr>
          <w:rFonts w:eastAsia="Roboto"/>
        </w:rPr>
        <w:t xml:space="preserve"> </w:t>
      </w:r>
      <w:r w:rsidR="00D34AB2">
        <w:rPr>
          <w:rFonts w:eastAsia="Roboto"/>
        </w:rPr>
        <w:t>respecting</w:t>
      </w:r>
      <w:r w:rsidRPr="00595312">
        <w:rPr>
          <w:rFonts w:eastAsia="Roboto"/>
        </w:rPr>
        <w:t xml:space="preserve"> privacy, </w:t>
      </w:r>
      <w:r w:rsidR="00D34AB2">
        <w:rPr>
          <w:rFonts w:eastAsia="Roboto"/>
        </w:rPr>
        <w:t>keeping</w:t>
      </w:r>
      <w:r w:rsidRPr="00595312">
        <w:rPr>
          <w:rFonts w:eastAsia="Roboto"/>
        </w:rPr>
        <w:t xml:space="preserve"> channels open, and </w:t>
      </w:r>
      <w:r w:rsidR="00D34AB2">
        <w:rPr>
          <w:rFonts w:eastAsia="Roboto"/>
        </w:rPr>
        <w:t>adhering</w:t>
      </w:r>
      <w:r w:rsidRPr="00595312">
        <w:rPr>
          <w:rFonts w:eastAsia="Roboto"/>
        </w:rPr>
        <w:t xml:space="preserve"> to proactive data governance best practices. Illegal message retransmission proves that human, non-mechanical activities with weak audit trails have been utilized by Guerin Media, and it is an indicator of the vulnerabilities in their mechanisms of protecting data and control. It says a lot about how Privacy by Design and Default principles are not implemented, as data-protective activities should be an intrinsic part of an organization's standard practice, not something thought of afterwards</w:t>
      </w:r>
      <w:r w:rsidR="00406EB3">
        <w:rPr>
          <w:rFonts w:eastAsia="Roboto"/>
        </w:rPr>
        <w:t xml:space="preserve"> [17]</w:t>
      </w:r>
      <w:r w:rsidRPr="00595312">
        <w:rPr>
          <w:rFonts w:eastAsia="Roboto"/>
        </w:rPr>
        <w:t>.</w:t>
      </w:r>
    </w:p>
    <w:p w14:paraId="1320A835" w14:textId="521C04BA" w:rsidR="002F0262" w:rsidRPr="00595312" w:rsidRDefault="002F0262" w:rsidP="00343C8D">
      <w:pPr>
        <w:ind w:firstLine="720"/>
        <w:rPr>
          <w:rFonts w:eastAsia="Roboto"/>
        </w:rPr>
      </w:pPr>
      <w:r w:rsidRPr="00595312">
        <w:rPr>
          <w:rFonts w:eastAsia="Roboto"/>
        </w:rPr>
        <w:t>Legally speaking, violation of GDPR Articles 5, 12, 15, and 25</w:t>
      </w:r>
      <w:r w:rsidR="00D34AB2">
        <w:rPr>
          <w:rFonts w:eastAsia="Roboto"/>
        </w:rPr>
        <w:t>,</w:t>
      </w:r>
      <w:r w:rsidRPr="00595312">
        <w:rPr>
          <w:rFonts w:eastAsia="Roboto"/>
        </w:rPr>
        <w:t xml:space="preserve"> and Article 83 regarding administrative fines points towards severe problems in the management of compliance. Other than violating the rights of users, the lack of consent management systems, verification procedures, and automatic data erasure methods lowers the organization's accountability as described under Article 5(2). </w:t>
      </w:r>
      <w:r w:rsidRPr="00595312">
        <w:rPr>
          <w:rFonts w:eastAsia="Roboto"/>
        </w:rPr>
        <w:lastRenderedPageBreak/>
        <w:t>This also reflects a failure of auditability and internal governance, both of which are required for purposes of proving compliance in regulatory audits. Together, these failures demonstrate that the strategy of data protection by Guerin Media has been reactive instead of proactive, hurting the reputation of the company and destroying customer trust.</w:t>
      </w:r>
    </w:p>
    <w:p w14:paraId="66E1A2B0" w14:textId="45D5666B" w:rsidR="002F0262" w:rsidRPr="008B0D38" w:rsidRDefault="002F0262" w:rsidP="00343C8D">
      <w:pPr>
        <w:ind w:firstLine="720"/>
        <w:rPr>
          <w:rFonts w:eastAsia="Roboto"/>
        </w:rPr>
      </w:pPr>
      <w:r w:rsidRPr="00595312">
        <w:rPr>
          <w:rFonts w:eastAsia="Roboto"/>
        </w:rPr>
        <w:t xml:space="preserve">Public confidence in data-led advertising and electronic communications is eroded for a time by such failures.  Such repeated incidents of unscrupulous behavior serve to </w:t>
      </w:r>
      <w:r w:rsidRPr="008B0D38">
        <w:rPr>
          <w:rFonts w:eastAsia="Roboto"/>
        </w:rPr>
        <w:t xml:space="preserve">reinforce further the perception that firms will stop at nothing in matters of morality in a bid to make the most profit.  Such behavior taints public confidence in data protection laws that protect digital freedom and personal rights. Companies ought to have a governance model to ensure ethical data management and compliance in order to meet Sustainable Development Goal 16 </w:t>
      </w:r>
      <w:r w:rsidR="00D34AB2">
        <w:rPr>
          <w:rFonts w:eastAsia="Roboto"/>
        </w:rPr>
        <w:t>which</w:t>
      </w:r>
      <w:r w:rsidRPr="008B0D38">
        <w:rPr>
          <w:rFonts w:eastAsia="Roboto"/>
        </w:rPr>
        <w:t xml:space="preserve"> calls for accountability, transparency, and the rule of law. The best sterling examples of corporate responsibility and openness would be to implement data erasure mechanisms automatically, increase consent monitoring systems, and adopt consent management tools.</w:t>
      </w:r>
    </w:p>
    <w:p w14:paraId="0734CD5A" w14:textId="4902706B" w:rsidR="002F0262" w:rsidRPr="008B0D38" w:rsidRDefault="002F0262" w:rsidP="00D27B1D">
      <w:pPr>
        <w:ind w:firstLine="720"/>
        <w:rPr>
          <w:rFonts w:eastAsia="Roboto"/>
        </w:rPr>
      </w:pPr>
      <w:r w:rsidRPr="008B0D38">
        <w:rPr>
          <w:rFonts w:eastAsia="Roboto"/>
        </w:rPr>
        <w:t xml:space="preserve">Briefly, a combination of social tolerance, illegality, and moral shortcomings allowed Guerin Media to engage in questionable behavior.  Guerin Media needs to develop a strong data protection environment with auditing, privacy-friendly technologies, and open communications </w:t>
      </w:r>
      <w:r w:rsidR="00B6294F">
        <w:rPr>
          <w:rFonts w:eastAsia="Roboto"/>
        </w:rPr>
        <w:t>to</w:t>
      </w:r>
      <w:r w:rsidRPr="008B0D38">
        <w:rPr>
          <w:rFonts w:eastAsia="Roboto"/>
        </w:rPr>
        <w:t xml:space="preserve"> restore compliance and public confidence.  Protection of individuals' rights, dignity, and trust </w:t>
      </w:r>
      <w:r w:rsidR="00D34AB2">
        <w:rPr>
          <w:rFonts w:eastAsia="Roboto"/>
        </w:rPr>
        <w:t>is not only</w:t>
      </w:r>
      <w:r w:rsidRPr="008B0D38">
        <w:rPr>
          <w:rFonts w:eastAsia="Roboto"/>
        </w:rPr>
        <w:t xml:space="preserve"> legally required but also morally right in the new digital era</w:t>
      </w:r>
      <w:r w:rsidR="009876D6">
        <w:rPr>
          <w:rFonts w:eastAsia="Roboto"/>
        </w:rPr>
        <w:t xml:space="preserve"> [17]</w:t>
      </w:r>
      <w:r w:rsidRPr="008B0D38">
        <w:rPr>
          <w:rFonts w:eastAsia="Roboto"/>
        </w:rPr>
        <w:t>.</w:t>
      </w:r>
    </w:p>
    <w:p w14:paraId="0FB6B829" w14:textId="77777777" w:rsidR="002F0262" w:rsidRPr="008B0D38" w:rsidRDefault="002F0262" w:rsidP="00CE3798">
      <w:pPr>
        <w:pStyle w:val="Heading1"/>
        <w:rPr>
          <w:rFonts w:eastAsia="Roboto"/>
        </w:rPr>
      </w:pPr>
      <w:r w:rsidRPr="008B0D38">
        <w:rPr>
          <w:rFonts w:eastAsia="Roboto"/>
        </w:rPr>
        <w:t>Section 4: Data Governance, Ethics &amp; Sustainability Solutions (Recommended Best Practices)</w:t>
      </w:r>
    </w:p>
    <w:p w14:paraId="41FB968E" w14:textId="43376E0B" w:rsidR="002F0262" w:rsidRPr="00FF36DC" w:rsidRDefault="002F0262" w:rsidP="00FF36DC">
      <w:pPr>
        <w:ind w:firstLine="720"/>
        <w:rPr>
          <w:rFonts w:eastAsia="Roboto"/>
        </w:rPr>
      </w:pPr>
      <w:r w:rsidRPr="008B0D38">
        <w:rPr>
          <w:rFonts w:eastAsia="Roboto"/>
        </w:rPr>
        <w:t>In order to integrate sustainability, good governance, and responsible use of data in accordance with SDG 16, Guerin Media Limited can implement Exabeam's six best practices of GDPR Article 5 (2020). The six best practices, when implemented to the letter, will address Guerin Media's privacy and governance problems, and the company will become a template for institutional responsibility, transparency, and accountability in data management</w:t>
      </w:r>
      <w:r w:rsidR="00765ECB">
        <w:rPr>
          <w:rFonts w:eastAsia="Roboto"/>
        </w:rPr>
        <w:t xml:space="preserve"> [19]</w:t>
      </w:r>
      <w:r w:rsidRPr="008B0D38">
        <w:rPr>
          <w:rFonts w:eastAsia="Roboto"/>
        </w:rPr>
        <w:t>.</w:t>
      </w:r>
    </w:p>
    <w:p w14:paraId="6BCB9216" w14:textId="77777777" w:rsidR="002F0262" w:rsidRPr="00AD76DC" w:rsidRDefault="002F0262" w:rsidP="00AC59F9">
      <w:pPr>
        <w:pStyle w:val="Heading20"/>
      </w:pPr>
      <w:r w:rsidRPr="00AD76DC">
        <w:t>1. Identify and Document a Legal Basis for Processing</w:t>
      </w:r>
    </w:p>
    <w:p w14:paraId="7BB04149" w14:textId="254C075B" w:rsidR="002F0262" w:rsidRPr="008B0D38" w:rsidRDefault="002F0262" w:rsidP="00AC59F9">
      <w:pPr>
        <w:ind w:firstLine="720"/>
        <w:rPr>
          <w:rFonts w:eastAsia="Roboto"/>
        </w:rPr>
      </w:pPr>
      <w:r w:rsidRPr="008B0D38">
        <w:rPr>
          <w:rFonts w:eastAsia="Roboto"/>
        </w:rPr>
        <w:t>The cornerstone of lawful and ethical data governance is identifying and documenting a clear legal basis for all data processing activity. Exabeam advises keeping one register that traces each marketing or communications campaign back to its legal basis</w:t>
      </w:r>
      <w:r w:rsidR="00D34AB2">
        <w:rPr>
          <w:rFonts w:eastAsia="Roboto"/>
        </w:rPr>
        <w:t xml:space="preserve"> such as</w:t>
      </w:r>
      <w:r w:rsidRPr="008B0D38">
        <w:rPr>
          <w:rFonts w:eastAsia="Roboto"/>
        </w:rPr>
        <w:t xml:space="preserve"> consent, contractual necessity, or legitimate interest—under GDPR Article 6. In this way, traceability and transparency are upheld across the company, and compliance is demonstrated in case of audits or supervisory examination. By </w:t>
      </w:r>
      <w:r w:rsidRPr="008B0D38">
        <w:rPr>
          <w:rFonts w:eastAsia="Roboto"/>
        </w:rPr>
        <w:lastRenderedPageBreak/>
        <w:t>implementing ordered records of data use and consent, Guerin Media can show accountability (Article 5(2)) and avert arbitrary or unlawful processing. Moreover, this central register promotes sustainability by data minimalism and by discouraging undue or unjustified collection of data</w:t>
      </w:r>
      <w:r w:rsidR="0054522F">
        <w:rPr>
          <w:rFonts w:eastAsia="Roboto"/>
        </w:rPr>
        <w:t xml:space="preserve"> [19]</w:t>
      </w:r>
      <w:r w:rsidRPr="008B0D38">
        <w:rPr>
          <w:rFonts w:eastAsia="Roboto"/>
        </w:rPr>
        <w:t>.</w:t>
      </w:r>
    </w:p>
    <w:p w14:paraId="33C591EB" w14:textId="77777777" w:rsidR="002F0262" w:rsidRPr="00F05B74" w:rsidRDefault="002F0262" w:rsidP="00F05B74">
      <w:pPr>
        <w:pStyle w:val="Heading20"/>
      </w:pPr>
      <w:r w:rsidRPr="00F05B74">
        <w:t xml:space="preserve"> 2. Simplify and Make Information Easily Accessible</w:t>
      </w:r>
    </w:p>
    <w:p w14:paraId="63D6F619" w14:textId="77777777" w:rsidR="00B11456" w:rsidRPr="00B11456" w:rsidRDefault="002F0262" w:rsidP="00B11456">
      <w:pPr>
        <w:rPr>
          <w:rFonts w:eastAsia="Roboto"/>
        </w:rPr>
      </w:pPr>
      <w:r w:rsidRPr="008B0D38">
        <w:rPr>
          <w:rFonts w:eastAsia="Roboto"/>
        </w:rPr>
        <w:t xml:space="preserve"> </w:t>
      </w:r>
      <w:r w:rsidR="003D596B">
        <w:rPr>
          <w:rFonts w:eastAsia="Roboto"/>
        </w:rPr>
        <w:tab/>
      </w:r>
      <w:r w:rsidR="00B11456" w:rsidRPr="00B11456">
        <w:rPr>
          <w:rFonts w:eastAsia="Roboto"/>
        </w:rPr>
        <w:t>Transparency in communication is the cornerstone of data stewardship responsibility ethics. Exabeam works in transparent mode to maintain privacy in a manner in which individuals are extremely well aware of what they are doing with their data. They accomplish these through the supply of readable, unambiguous privacy notices, in-app notification messages, and contextual notices that have included the purpose of data collection, data subject rights, and opt-out. As per GDPR Articles 12–14, this act is reviving public justice and trust. Exabeam's suggestion of giving only readily accessible dashboards or summary use of data notices, levels of consent, and simple withdrawal facility of consent can be followed by Guerin Media. It not only meets the requirement of transparency but also derives its compliance from SDG 16's requirement of institutional transparency [19].</w:t>
      </w:r>
    </w:p>
    <w:p w14:paraId="48AC10EC" w14:textId="77777777" w:rsidR="00B11456" w:rsidRPr="00B11456" w:rsidRDefault="00B11456" w:rsidP="00B11456">
      <w:pPr>
        <w:rPr>
          <w:rFonts w:eastAsia="Roboto"/>
          <w:b/>
          <w:bCs/>
          <w:sz w:val="28"/>
          <w:szCs w:val="28"/>
        </w:rPr>
      </w:pPr>
      <w:r w:rsidRPr="00B11456">
        <w:rPr>
          <w:rFonts w:eastAsia="Roboto"/>
          <w:b/>
          <w:bCs/>
          <w:sz w:val="28"/>
          <w:szCs w:val="28"/>
        </w:rPr>
        <w:t>3. Keep Accurate and Current Information</w:t>
      </w:r>
    </w:p>
    <w:p w14:paraId="0C121789" w14:textId="77777777" w:rsidR="00B11456" w:rsidRPr="00B11456" w:rsidRDefault="00B11456" w:rsidP="00B11456">
      <w:pPr>
        <w:rPr>
          <w:rFonts w:eastAsia="Roboto"/>
        </w:rPr>
      </w:pPr>
      <w:r w:rsidRPr="00B11456">
        <w:rPr>
          <w:rFonts w:eastAsia="Roboto"/>
        </w:rPr>
        <w:t>GDPR likely Article 16 requests organizations to make the personal data accurate and give the likely opportunity for correction by data subjects in the event of inaccuracy. Exabeam best practice is automated rule application on data import and sync to flag stale, duplicate, or incorrect data. The customers must also be permitted to correct their own details in a secure self-service portal where they can view, edit, or refresh data without administrative involvement. For Guerin Media, for instance, by doing this, mistakes like sending to bad or unsubscribed addresses would be prevented. That it provides a form of mutual responsibility where user and organization are both liable together with data integrity for data integrity is a sign that Exabeam is interested in compliance in real-time and continuous data practice [19].</w:t>
      </w:r>
    </w:p>
    <w:p w14:paraId="2D1DA887" w14:textId="77777777" w:rsidR="00B11456" w:rsidRPr="00B11456" w:rsidRDefault="00B11456" w:rsidP="00B11456">
      <w:pPr>
        <w:rPr>
          <w:rFonts w:eastAsia="Roboto"/>
          <w:b/>
          <w:bCs/>
          <w:sz w:val="28"/>
          <w:szCs w:val="28"/>
        </w:rPr>
      </w:pPr>
      <w:r w:rsidRPr="00B11456">
        <w:rPr>
          <w:rFonts w:eastAsia="Roboto"/>
          <w:b/>
          <w:bCs/>
          <w:sz w:val="28"/>
          <w:szCs w:val="28"/>
        </w:rPr>
        <w:t>4. Adopt and implement data storage and disposal policy</w:t>
      </w:r>
    </w:p>
    <w:p w14:paraId="09117F68" w14:textId="65D72100" w:rsidR="002F0262" w:rsidRDefault="00B11456" w:rsidP="00B11456">
      <w:pPr>
        <w:rPr>
          <w:rFonts w:eastAsia="Roboto"/>
        </w:rPr>
      </w:pPr>
      <w:r w:rsidRPr="00B11456">
        <w:rPr>
          <w:rFonts w:eastAsia="Roboto"/>
        </w:rPr>
        <w:t>Exabeam suggests retaining data for certain periods and has anonymisation or automatic deletion of inactive data in its support. Guerin Media must have a marketing contact retention calendar and delete older data in accordance with Article 5(e) of the GDPR, which suggests setting the time limit for which data is to be stored at a minimum. With automated processes like retention schedules, audit trails, and approval processes for deletion, the company will be able to remove errors and accidental retention of data. The project places the integrity in the company and meets one of the requirements of Guerin Media, little automated deletion by preserving data for use alone. Ethical data management is successful data lifecycle management with electronic waste reduction [19].</w:t>
      </w:r>
    </w:p>
    <w:p w14:paraId="3CAAD2F6" w14:textId="77777777" w:rsidR="00B11456" w:rsidRDefault="002F0262" w:rsidP="00B11456">
      <w:pPr>
        <w:pStyle w:val="Heading20"/>
      </w:pPr>
      <w:r w:rsidRPr="00AD76DC">
        <w:lastRenderedPageBreak/>
        <w:t xml:space="preserve"> </w:t>
      </w:r>
      <w:r w:rsidR="00B11456">
        <w:t>5. Implement robust technical controls and organisational security practices</w:t>
      </w:r>
    </w:p>
    <w:p w14:paraId="006C01F6" w14:textId="77777777" w:rsidR="00B11456" w:rsidRPr="00B11456" w:rsidRDefault="00B11456" w:rsidP="00B11456">
      <w:pPr>
        <w:pStyle w:val="Heading20"/>
        <w:rPr>
          <w:b w:val="0"/>
          <w:bCs w:val="0"/>
          <w:sz w:val="24"/>
          <w:szCs w:val="24"/>
        </w:rPr>
      </w:pPr>
      <w:r w:rsidRPr="00B11456">
        <w:rPr>
          <w:b w:val="0"/>
          <w:bCs w:val="0"/>
          <w:sz w:val="24"/>
          <w:szCs w:val="24"/>
        </w:rPr>
        <w:t>In addition to rolling out new methodologies such as continuous monitoring and auto-response to threats, Exabeam's fifth solution is to put in place technical security controls such as encryption, role-based access control (RBAC), and anomaly detection. These steps are commensurate with GDPR Article 5(f) that aims to combine personal data and maintain its secrecy by inhibiting its inappropriate usage, misuse of information, loss, or destruction. Guerin Media employs Exabeam's User and Entity Behavior Analytics (UEBA) solutions to monitor abnormal behavior, such as reviving defunct mailing lists or calling_blocked customers. Having control, insight, and visibility of all activity on the data enhances data security and governance accountability. The drill also promotes public confidence in the virtual space and Institutional Transparency, which is materially enabled under Sustainable Development Goal (SDG) 16 [19].</w:t>
      </w:r>
    </w:p>
    <w:p w14:paraId="4A93DEA2" w14:textId="77777777" w:rsidR="00B11456" w:rsidRDefault="00B11456" w:rsidP="00B11456">
      <w:pPr>
        <w:pStyle w:val="Heading20"/>
      </w:pPr>
      <w:r>
        <w:t>6. Educate and Train the Staff in Privacy and Culture of Data Minimization</w:t>
      </w:r>
    </w:p>
    <w:p w14:paraId="6A1DD3DE" w14:textId="77777777" w:rsidR="00B11456" w:rsidRPr="00B11456" w:rsidRDefault="00B11456" w:rsidP="00B11456">
      <w:pPr>
        <w:pStyle w:val="Heading20"/>
        <w:rPr>
          <w:b w:val="0"/>
          <w:bCs w:val="0"/>
          <w:sz w:val="24"/>
          <w:szCs w:val="24"/>
        </w:rPr>
      </w:pPr>
      <w:r w:rsidRPr="00B11456">
        <w:rPr>
          <w:b w:val="0"/>
          <w:bCs w:val="0"/>
          <w:sz w:val="24"/>
          <w:szCs w:val="24"/>
        </w:rPr>
        <w:t>Exabeem reaffirms people behavior's central position and watchfulness for the purpose of imposing compliance. There must be ongoing training performed by organisations such that employees acquire only enough, privacy-risk sensitive, and comply with user requirements like unsubscription or erasure. Privacy by Design and Default culture is developed such that ethical data handling forms part of its integral processes. For Guerin Media, there can be annual privacy training, phishing simulation, and refresh compliance training that can be effective in reducing inadvertent data breaches as a result of human error. It is also in line with the Exabeam credo that continuing learning about data is the essence in not abusing data and being at the center of responsible stewardship of data [19].</w:t>
      </w:r>
    </w:p>
    <w:p w14:paraId="759436D3" w14:textId="54E4D720" w:rsidR="002F0262" w:rsidRPr="00700992" w:rsidRDefault="00B11456" w:rsidP="00B11456">
      <w:pPr>
        <w:pStyle w:val="Heading20"/>
      </w:pPr>
      <w:r>
        <w:t xml:space="preserve"> Long-Term Impact and Alignment with SDG 16</w:t>
      </w:r>
    </w:p>
    <w:p w14:paraId="1E4A8F61" w14:textId="3CBA2EF0" w:rsidR="002F0262" w:rsidRPr="00AD76DC" w:rsidRDefault="002F0262" w:rsidP="00700992">
      <w:pPr>
        <w:ind w:firstLine="720"/>
        <w:rPr>
          <w:rFonts w:eastAsia="Roboto"/>
        </w:rPr>
      </w:pPr>
      <w:r w:rsidRPr="00393DD8">
        <w:rPr>
          <w:rFonts w:eastAsia="Roboto"/>
        </w:rPr>
        <w:t>Through these six best practices</w:t>
      </w:r>
      <w:r w:rsidR="00E1426E">
        <w:rPr>
          <w:rFonts w:eastAsia="Roboto"/>
        </w:rPr>
        <w:t xml:space="preserve"> </w:t>
      </w:r>
      <w:r w:rsidRPr="00393DD8">
        <w:rPr>
          <w:rFonts w:eastAsia="Roboto"/>
        </w:rPr>
        <w:t>recorded foundations, open communication, full processing of data, control of retention, tight security, and regular staff training</w:t>
      </w:r>
      <w:r w:rsidR="00505CBD">
        <w:rPr>
          <w:rFonts w:eastAsia="Roboto"/>
        </w:rPr>
        <w:t xml:space="preserve">. </w:t>
      </w:r>
      <w:r w:rsidRPr="00393DD8">
        <w:rPr>
          <w:rFonts w:eastAsia="Roboto"/>
        </w:rPr>
        <w:t xml:space="preserve">Guerin Media is able to turn deficits in managing data around </w:t>
      </w:r>
      <w:r w:rsidR="00CA6EA5">
        <w:rPr>
          <w:rFonts w:eastAsia="Roboto"/>
        </w:rPr>
        <w:t>into</w:t>
      </w:r>
      <w:r w:rsidRPr="00393DD8">
        <w:rPr>
          <w:rFonts w:eastAsia="Roboto"/>
        </w:rPr>
        <w:t xml:space="preserve"> a crystal-clear, unmodifiable, and permanent rule of management.</w:t>
      </w:r>
      <w:r w:rsidR="0048591A">
        <w:rPr>
          <w:rFonts w:eastAsia="Roboto"/>
        </w:rPr>
        <w:t xml:space="preserve"> </w:t>
      </w:r>
      <w:r w:rsidRPr="00393DD8">
        <w:rPr>
          <w:rFonts w:eastAsia="Roboto"/>
        </w:rPr>
        <w:t xml:space="preserve">Exabeam's solution is far more than compliance. It allows an ethic of responsibility and an </w:t>
      </w:r>
      <w:r w:rsidR="0048591A">
        <w:rPr>
          <w:rFonts w:eastAsia="Roboto"/>
        </w:rPr>
        <w:t>ethical</w:t>
      </w:r>
      <w:r w:rsidRPr="00393DD8">
        <w:rPr>
          <w:rFonts w:eastAsia="Roboto"/>
        </w:rPr>
        <w:t xml:space="preserve"> </w:t>
      </w:r>
      <w:r w:rsidRPr="00AD76DC">
        <w:rPr>
          <w:rFonts w:eastAsia="Roboto"/>
        </w:rPr>
        <w:t>culture in keeping with the will of SDG 16, which is peace, justice, and institutions. Through the use of automated audit trails, secure access controls, clear user messaging, and employee training, Guerin Media is not only GDPR Article 5 principle compliant but a model for sustainable digital government, which in itself encourages public trust in data-driven business</w:t>
      </w:r>
      <w:r w:rsidR="00373CE1">
        <w:rPr>
          <w:rFonts w:eastAsia="Roboto"/>
        </w:rPr>
        <w:t xml:space="preserve"> [19]</w:t>
      </w:r>
      <w:r w:rsidRPr="00AD76DC">
        <w:rPr>
          <w:rFonts w:eastAsia="Roboto"/>
        </w:rPr>
        <w:t>.</w:t>
      </w:r>
    </w:p>
    <w:p w14:paraId="2D6B4ED0" w14:textId="77777777" w:rsidR="002F0262" w:rsidRPr="00CA6EA5" w:rsidRDefault="002F0262" w:rsidP="00CA6EA5">
      <w:pPr>
        <w:pStyle w:val="Heading1"/>
        <w:rPr>
          <w:rFonts w:eastAsia="Roboto"/>
        </w:rPr>
      </w:pPr>
      <w:bookmarkStart w:id="3" w:name="_3a9jce2rzznf" w:colFirst="0" w:colLast="0"/>
      <w:bookmarkEnd w:id="3"/>
      <w:r w:rsidRPr="00CA6EA5">
        <w:rPr>
          <w:rFonts w:eastAsia="Roboto"/>
        </w:rPr>
        <w:lastRenderedPageBreak/>
        <w:t>Section 5: Conclusions and Future Work</w:t>
      </w:r>
    </w:p>
    <w:p w14:paraId="74430FE4" w14:textId="4E403062" w:rsidR="00ED500C" w:rsidRPr="00CA6EA5" w:rsidRDefault="002F0262" w:rsidP="00CA6EA5">
      <w:pPr>
        <w:pStyle w:val="Heading20"/>
      </w:pPr>
      <w:r w:rsidRPr="00AD76DC">
        <w:t>5.1 Conclusion and Findings</w:t>
      </w:r>
    </w:p>
    <w:p w14:paraId="11E5C730" w14:textId="6ACB0130" w:rsidR="002F0262" w:rsidRPr="00AD76DC" w:rsidRDefault="002F0262" w:rsidP="00CA6EA5">
      <w:pPr>
        <w:ind w:firstLine="720"/>
      </w:pPr>
      <w:r w:rsidRPr="00AD76DC">
        <w:t>Overall failure to keep contact details up to date and over-reliance on manual information processing were established through the Guerin Media Limited case study. Overall failure to secure subsequent consent. Not only did they violate a basic GDPR requirement of Articles 5 (Legality, Fairness, Transparency) and Article 25 (Privacy by Design and Default) but also invaded the user control, undermined consumer trust, and destroyed the company's reputation. Failure by the company to maintain consent process of data and real-time monitoring of unsubscriptions is an indication of governance shortfall to integrity of ethical management of data and accountable institutions supported by Sustainable Development Goal (SDG) 16.</w:t>
      </w:r>
    </w:p>
    <w:p w14:paraId="63C9FB98" w14:textId="4E59FD18" w:rsidR="002F0262" w:rsidRPr="00C86647" w:rsidRDefault="002F0262" w:rsidP="00C86647">
      <w:pPr>
        <w:ind w:firstLine="720"/>
      </w:pPr>
      <w:r w:rsidRPr="00AD76DC">
        <w:t>Exabeam (2020) discovers that compliance with GDPR has turned into a necessary condition for sustainable and responsible data stewardship rather than a compliance strategy to the law. Without combining consent tracking, audit logs in real-time, and data validation controls, spam communication continued to plague the company and destroyed the stakeholder-company relationship. All these facts clearly prove that without a combined framework of governance, even the most flawless policies will be unsuccessful in practice.</w:t>
      </w:r>
    </w:p>
    <w:p w14:paraId="005DE382" w14:textId="23A60CFD" w:rsidR="002F0262" w:rsidRPr="00A46564" w:rsidRDefault="002F0262" w:rsidP="00A46564">
      <w:pPr>
        <w:ind w:firstLine="720"/>
      </w:pPr>
      <w:r w:rsidRPr="00AD76DC">
        <w:t xml:space="preserve">Furthermore, ePrivacy Regulation 13(1), Articles 5 and 25 of GDPR also cite legitimate processing, data minimisation, transparency, and integrity. Guerin Media commercial practices, however, lacked naked </w:t>
      </w:r>
      <w:r w:rsidR="00A46564">
        <w:t>operational</w:t>
      </w:r>
      <w:r w:rsidRPr="00AD76DC">
        <w:t xml:space="preserve"> deficiencies in depicting legal scripts to practice. Failure to embrace Privacy by Design frameworks, data retention policy, and open-booking accountability plans evidently offer rationale for the need for governance models that can map compliance into the technology support framework of marketing operations efficiently.</w:t>
      </w:r>
    </w:p>
    <w:p w14:paraId="2CEDB49D" w14:textId="77777777" w:rsidR="002F0262" w:rsidRPr="00AD76DC" w:rsidRDefault="002F0262" w:rsidP="00665A5E">
      <w:pPr>
        <w:ind w:firstLine="720"/>
      </w:pPr>
      <w:r w:rsidRPr="00AD76DC">
        <w:t>Implementation of centralised consent management systems, as specified in Exabeam's GDPR Article 5 Best Practices, would plug the gaps in governance. The systems would facilitate timely release of the updates of consent through all the channels of communication without duplication and thus lesser human intervention and delayed processing at withdrawal. Second, auto-procedure and audit trail controls facilitate real-time monitoring of data processing activities that allow organisations to transfer the burden to the regulatory authorities and build long-term users' confidence.</w:t>
      </w:r>
    </w:p>
    <w:p w14:paraId="761C57A2" w14:textId="45987114" w:rsidR="002F0262" w:rsidRPr="00B42BCA" w:rsidRDefault="002F0262" w:rsidP="00B42BCA">
      <w:pPr>
        <w:ind w:firstLine="720"/>
      </w:pPr>
      <w:r w:rsidRPr="00AD76DC">
        <w:t xml:space="preserve">Apart from that, staff </w:t>
      </w:r>
      <w:r w:rsidR="00930A6C">
        <w:t>must also</w:t>
      </w:r>
      <w:r w:rsidRPr="00AD76DC">
        <w:t xml:space="preserve"> be ready in data protection process and ethics communications. Human </w:t>
      </w:r>
      <w:r w:rsidR="00930A6C">
        <w:t>mistakes</w:t>
      </w:r>
      <w:r w:rsidRPr="00AD76DC">
        <w:t xml:space="preserve"> and not bad </w:t>
      </w:r>
      <w:r w:rsidR="00930A6C">
        <w:t>will</w:t>
      </w:r>
      <w:r w:rsidRPr="00AD76DC">
        <w:t xml:space="preserve"> were the reason of the majority of Guerin Media business problems. Thus, regular training on </w:t>
      </w:r>
      <w:r w:rsidR="00930A6C">
        <w:t>the GDPR Article 39 requirement (regarding the role of the Data Protection Officer) can foster a</w:t>
      </w:r>
      <w:r w:rsidRPr="00AD76DC">
        <w:t xml:space="preserve"> compliance culture.</w:t>
      </w:r>
      <w:r w:rsidR="00930A6C">
        <w:t xml:space="preserve"> Implementing these kinds of governance controls is essential </w:t>
      </w:r>
      <w:r w:rsidR="00930A6C">
        <w:lastRenderedPageBreak/>
        <w:t xml:space="preserve">for availing SDG 16 values of clean, accountable institutions that are responsive to the digital age's </w:t>
      </w:r>
      <w:r w:rsidRPr="00AD76DC">
        <w:t>human rights and dignity</w:t>
      </w:r>
      <w:r w:rsidR="00E464E8">
        <w:t xml:space="preserve"> [19]</w:t>
      </w:r>
      <w:r w:rsidRPr="00AD76DC">
        <w:t>.</w:t>
      </w:r>
    </w:p>
    <w:p w14:paraId="385AD82A" w14:textId="77777777" w:rsidR="002F0262" w:rsidRPr="00AD76DC" w:rsidRDefault="002F0262" w:rsidP="009C465A">
      <w:pPr>
        <w:pStyle w:val="Heading20"/>
      </w:pPr>
      <w:r w:rsidRPr="00AD76DC">
        <w:t>5.2 Conclusion</w:t>
      </w:r>
    </w:p>
    <w:p w14:paraId="1126A0DD" w14:textId="3E9A19D3" w:rsidR="002F0262" w:rsidRPr="00AD76DC" w:rsidRDefault="002F0262" w:rsidP="00F451F3">
      <w:pPr>
        <w:ind w:firstLine="720"/>
      </w:pPr>
      <w:r w:rsidRPr="00AD76DC">
        <w:t>Discussion of Guerin Media's data practices has in mind that sound data governance is at the heart of encouraging compliance and ethical stewardship. Where such withdrawal of consent or unsubscribe communications are not being sent on all platforms, the consumer is still receiving unwanted direct marketing communications, which amounts to a violation of right to privacy under GDPR Articles 7, 17, and 21. This invokes draconian monetary fines under Article 83 (up to €20 million or 4% of worldwide annual turnover) and includes damage to reputation and loss of public trust.</w:t>
      </w:r>
      <w:r w:rsidR="00690589">
        <w:t xml:space="preserve"> </w:t>
      </w:r>
      <w:r w:rsidRPr="00AD76DC">
        <w:t>By applying Privacy by Design approaches and extending auditability controls to produce compliance for a given purpose, organisations can stimulate ethical and legal protection in business-as-usual. Mid-way privacy and not an afterthought. Machine-based audit trails, encryption, and auditing of consent reduce human touch and increase responsibility.</w:t>
      </w:r>
      <w:r w:rsidR="00690589">
        <w:t xml:space="preserve"> </w:t>
      </w:r>
      <w:r w:rsidRPr="00AD76DC">
        <w:t>Implementation of Exabeam's model</w:t>
      </w:r>
      <w:r w:rsidR="00054488">
        <w:t xml:space="preserve"> </w:t>
      </w:r>
      <w:r w:rsidRPr="00AD76DC">
        <w:t xml:space="preserve">inclusion of the historical legal foundation documents, transparency program, accuracy testing, retention practices, security practices, and employee training—is an ongoing model where compliance and best performance go side by side. It is culture of trust that sustains it, communications are transparent, and organization integrity </w:t>
      </w:r>
      <w:r w:rsidR="00F451F3">
        <w:t xml:space="preserve">is </w:t>
      </w:r>
      <w:r w:rsidRPr="00AD76DC">
        <w:t>aligned with UN's 2030 Agenda for Sustainable Development to Guerin Media.</w:t>
      </w:r>
    </w:p>
    <w:p w14:paraId="2BB11660" w14:textId="3C82F3E4" w:rsidR="00ED500C" w:rsidRPr="00433C72" w:rsidRDefault="002F0262" w:rsidP="00433C72">
      <w:pPr>
        <w:pStyle w:val="Heading20"/>
      </w:pPr>
      <w:r w:rsidRPr="00305958">
        <w:t>5.3 Future Directions</w:t>
      </w:r>
    </w:p>
    <w:p w14:paraId="54759E22" w14:textId="2CE2AE2E" w:rsidR="002F0262" w:rsidRPr="00305958" w:rsidRDefault="002F0262" w:rsidP="00433C72">
      <w:pPr>
        <w:pStyle w:val="Heading20"/>
      </w:pPr>
      <w:r w:rsidRPr="00305958">
        <w:t>5.3.1 Pilot Implementation</w:t>
      </w:r>
      <w:r w:rsidR="00433C72">
        <w:tab/>
      </w:r>
    </w:p>
    <w:p w14:paraId="24642BE1" w14:textId="5DC86206" w:rsidR="002F0262" w:rsidRPr="00305958" w:rsidRDefault="002F0262" w:rsidP="00433C72">
      <w:pPr>
        <w:ind w:firstLine="720"/>
      </w:pPr>
      <w:r w:rsidRPr="00305958">
        <w:t>For enabling experimentation and experiment-based real-time testing of the new structure, a pilot on one of Guerin Media's business units on a CMS would be required. The operation of the automation and transparency features would be enabled by the pilot for testing.</w:t>
      </w:r>
    </w:p>
    <w:p w14:paraId="7A808E6A" w14:textId="0C428412" w:rsidR="002F0262" w:rsidRPr="00CD0ADD" w:rsidRDefault="002F0262" w:rsidP="00CD0ADD">
      <w:r w:rsidRPr="00305958">
        <w:t>Steps to be undertaken:</w:t>
      </w:r>
    </w:p>
    <w:p w14:paraId="49B53BE5" w14:textId="4F76F500" w:rsidR="002F0262" w:rsidRPr="00305958" w:rsidRDefault="002F0262" w:rsidP="00CD0ADD">
      <w:r w:rsidRPr="00305958">
        <w:t>- Install a single repository of consent that can push messages to all marketing solutions, i.e., web forms, email automation, and CRM.</w:t>
      </w:r>
    </w:p>
    <w:p w14:paraId="2AB52A5E" w14:textId="337CAF0F" w:rsidR="002F0262" w:rsidRPr="000C22EA" w:rsidRDefault="002F0262" w:rsidP="000C22EA">
      <w:r w:rsidRPr="00305958">
        <w:t>- Synchronize opt-outs and opt-ins database in real-time to avoid unwanted communications.</w:t>
      </w:r>
    </w:p>
    <w:p w14:paraId="0E658EBD" w14:textId="48480DAC" w:rsidR="002F0262" w:rsidRPr="000C22EA" w:rsidRDefault="002F0262" w:rsidP="000C22EA">
      <w:r w:rsidRPr="00305958">
        <w:t>- Integrate smoothly Exabeam anomaly detection software so that anomalies, i.e., re-importation of unsubscribed contacts, are picked up automatically.</w:t>
      </w:r>
    </w:p>
    <w:p w14:paraId="479588BA" w14:textId="1F214EA3" w:rsidR="002F0262" w:rsidRPr="000C22EA" w:rsidRDefault="002F0262" w:rsidP="000C22EA">
      <w:r w:rsidRPr="00305958">
        <w:t>- Roll out the Key Performance Indicators (KPIs) as follows:</w:t>
      </w:r>
    </w:p>
    <w:p w14:paraId="18EAEB43" w14:textId="3A31305B" w:rsidR="002F0262" w:rsidRPr="000C22EA" w:rsidRDefault="002F0262" w:rsidP="000C22EA">
      <w:r w:rsidRPr="00305958">
        <w:t>- No complaint of consent mishandling in pilot.</w:t>
      </w:r>
    </w:p>
    <w:p w14:paraId="07503AA4" w14:textId="77777777" w:rsidR="002F0262" w:rsidRPr="00305958" w:rsidRDefault="002F0262" w:rsidP="000C22EA">
      <w:r w:rsidRPr="00305958">
        <w:t>- Adopt on-time consent and roll out opt-out pages across all subscription types.</w:t>
      </w:r>
    </w:p>
    <w:p w14:paraId="2BE65C21" w14:textId="77777777" w:rsidR="002F0262" w:rsidRPr="00305958" w:rsidRDefault="002F0262" w:rsidP="000C22EA">
      <w:r w:rsidRPr="00305958">
        <w:lastRenderedPageBreak/>
        <w:t>- Check consent against the then-subscription list at regular intervals.</w:t>
      </w:r>
    </w:p>
    <w:p w14:paraId="3E28C462" w14:textId="1CBF8572" w:rsidR="002F0262" w:rsidRPr="000C22EA" w:rsidRDefault="002F0262" w:rsidP="000C22EA">
      <w:r w:rsidRPr="00305958">
        <w:t>- Unsubscribe requests must be processed within 24 hours of user interaction.</w:t>
      </w:r>
    </w:p>
    <w:p w14:paraId="3D02C130" w14:textId="3DBE501B" w:rsidR="002F0262" w:rsidRPr="00305958" w:rsidRDefault="002F0262" w:rsidP="000C22EA">
      <w:r w:rsidRPr="00305958">
        <w:t xml:space="preserve">- Have audit records for all </w:t>
      </w:r>
      <w:r w:rsidR="000C22EA">
        <w:t>communication activities</w:t>
      </w:r>
      <w:r w:rsidRPr="00305958">
        <w:t>.</w:t>
      </w:r>
    </w:p>
    <w:p w14:paraId="2DBA2342" w14:textId="77777777" w:rsidR="002F0262" w:rsidRPr="00305958" w:rsidRDefault="002F0262" w:rsidP="000C22EA"/>
    <w:p w14:paraId="4FF4B2CB" w14:textId="0C0F64F0" w:rsidR="00FD737E" w:rsidRPr="00FD737E" w:rsidRDefault="002F0262" w:rsidP="002F0262">
      <w:r w:rsidRPr="00305958">
        <w:t>This will make processing of consent transparent, quantifiable, and transparent.</w:t>
      </w:r>
    </w:p>
    <w:p w14:paraId="73CB63F0" w14:textId="448A507B" w:rsidR="002F0262" w:rsidRPr="00783F46" w:rsidRDefault="002F0262" w:rsidP="00783F46">
      <w:pPr>
        <w:pStyle w:val="Heading20"/>
      </w:pPr>
      <w:r w:rsidRPr="00305958">
        <w:t>5.3.2 Monitoring and Continuous Improvement</w:t>
      </w:r>
    </w:p>
    <w:p w14:paraId="2E2F5CE8" w14:textId="50E837F7" w:rsidR="002F0262" w:rsidRPr="00305958" w:rsidRDefault="002F0262" w:rsidP="00783F46">
      <w:pPr>
        <w:ind w:firstLine="720"/>
      </w:pPr>
      <w:r w:rsidRPr="00305958">
        <w:t>There must be oversight</w:t>
      </w:r>
      <w:r w:rsidR="00993F09">
        <w:t>,</w:t>
      </w:r>
      <w:r w:rsidRPr="00305958">
        <w:t xml:space="preserve"> monitoring and performance audits in the GDPR. There must be a plan of oversight by Guerin Media with quarterly review of consent, data retention, and access logs.</w:t>
      </w:r>
    </w:p>
    <w:p w14:paraId="69BF4683" w14:textId="477D3812" w:rsidR="002F0262" w:rsidRPr="00783F46" w:rsidRDefault="00993F09" w:rsidP="00783F46">
      <w:r>
        <w:t>The main</w:t>
      </w:r>
      <w:r w:rsidR="002F0262" w:rsidRPr="00305958">
        <w:t xml:space="preserve"> duties are:</w:t>
      </w:r>
    </w:p>
    <w:p w14:paraId="4191C0EA" w14:textId="1124D752" w:rsidR="002F0262" w:rsidRPr="00305958" w:rsidRDefault="002F0262" w:rsidP="00783F46">
      <w:r w:rsidRPr="00305958">
        <w:t xml:space="preserve">- Quarters Usage report unauthorized use or consent breaches via </w:t>
      </w:r>
      <w:r w:rsidR="00993F09">
        <w:t>checking</w:t>
      </w:r>
      <w:r w:rsidRPr="00305958">
        <w:t xml:space="preserve"> </w:t>
      </w:r>
      <w:r w:rsidR="005716E0">
        <w:t xml:space="preserve">the </w:t>
      </w:r>
      <w:r w:rsidRPr="00305958">
        <w:t>usage system.</w:t>
      </w:r>
    </w:p>
    <w:p w14:paraId="7010A686" w14:textId="37B46C79" w:rsidR="002F0262" w:rsidRPr="00305958" w:rsidRDefault="002F0262" w:rsidP="00B0067C">
      <w:r w:rsidRPr="00305958">
        <w:t xml:space="preserve">- Review deletion logs so that the data which have expired </w:t>
      </w:r>
      <w:r w:rsidR="00993F09">
        <w:t>is</w:t>
      </w:r>
      <w:r w:rsidRPr="00305958">
        <w:t xml:space="preserve"> deleted or anonymized according to policies.</w:t>
      </w:r>
    </w:p>
    <w:p w14:paraId="011EA607" w14:textId="3A763ABD" w:rsidR="002F0262" w:rsidRPr="00B0067C" w:rsidRDefault="002F0262" w:rsidP="00783F46">
      <w:r w:rsidRPr="00305958">
        <w:t>- Perform yearly user survey to quantify perception in satisfaction, transparency, and trustworthiness of data treatment.</w:t>
      </w:r>
    </w:p>
    <w:p w14:paraId="2C8680E5" w14:textId="6222A84F" w:rsidR="002F0262" w:rsidRDefault="002F0262" w:rsidP="00993F09">
      <w:r w:rsidRPr="00305958">
        <w:t xml:space="preserve">This is as per </w:t>
      </w:r>
      <w:r w:rsidR="005716E0">
        <w:t xml:space="preserve">the </w:t>
      </w:r>
      <w:r w:rsidRPr="00305958">
        <w:t>UN 2030 Agenda for Sustainable Development's Bullet 35, i.e., having accountable, effective, and transparent institutions.</w:t>
      </w:r>
      <w:r w:rsidR="00FD737E">
        <w:t xml:space="preserve"> </w:t>
      </w:r>
      <w:r w:rsidRPr="00305958">
        <w:t>Publish a yearly transparency report addressing privacy performance indicators, system innovation, and percentage compliance.</w:t>
      </w:r>
      <w:r w:rsidR="00FD737E">
        <w:t xml:space="preserve"> </w:t>
      </w:r>
      <w:r w:rsidRPr="00305958">
        <w:t xml:space="preserve">All </w:t>
      </w:r>
      <w:r w:rsidR="00993F09">
        <w:t xml:space="preserve">of </w:t>
      </w:r>
      <w:r w:rsidRPr="00305958">
        <w:t>which would need to be tracked by a Data Protection Officer (DPO) or compliance team to stay up to date with impending legislation and procedure</w:t>
      </w:r>
      <w:r w:rsidR="002343C8">
        <w:t xml:space="preserve"> [20]</w:t>
      </w:r>
      <w:r w:rsidRPr="00305958">
        <w:t>.</w:t>
      </w:r>
    </w:p>
    <w:p w14:paraId="3D2EA945" w14:textId="5E9B17A7" w:rsidR="002F0262" w:rsidRPr="00A5390D" w:rsidRDefault="002F0262" w:rsidP="00A5390D">
      <w:pPr>
        <w:pStyle w:val="Heading20"/>
      </w:pPr>
      <w:r w:rsidRPr="00DA4F45">
        <w:t>5.3.3 Drivers of Future Research</w:t>
      </w:r>
    </w:p>
    <w:p w14:paraId="758009D5" w14:textId="3FBC2919" w:rsidR="002F0262" w:rsidRPr="00A5390D" w:rsidRDefault="002F0262" w:rsidP="00DA4F45">
      <w:r w:rsidRPr="00DA4F45">
        <w:t xml:space="preserve">To enable future innovation and worldwide deployment, </w:t>
      </w:r>
      <w:r w:rsidR="00A5390D">
        <w:t xml:space="preserve">the </w:t>
      </w:r>
      <w:r w:rsidRPr="00DA4F45">
        <w:t>regulation of Guerin Media must prioritize research-driven innovation and ease of compliance</w:t>
      </w:r>
      <w:r w:rsidR="00A64B76">
        <w:t xml:space="preserve"> [20].</w:t>
      </w:r>
    </w:p>
    <w:p w14:paraId="4C0623FE" w14:textId="77777777" w:rsidR="002F0262" w:rsidRPr="00DA4F45" w:rsidRDefault="002F0262" w:rsidP="00A5390D">
      <w:pPr>
        <w:pStyle w:val="Heading20"/>
      </w:pPr>
      <w:r w:rsidRPr="00DA4F45">
        <w:t>Emphasis on future project research in the future:</w:t>
      </w:r>
    </w:p>
    <w:p w14:paraId="229FAB9B" w14:textId="77777777" w:rsidR="002F0262" w:rsidRPr="00DA4F45" w:rsidRDefault="002F0262" w:rsidP="00A5390D">
      <w:pPr>
        <w:pStyle w:val="Heading20"/>
        <w:rPr>
          <w:sz w:val="26"/>
          <w:szCs w:val="26"/>
        </w:rPr>
      </w:pPr>
      <w:r w:rsidRPr="00DA4F45">
        <w:rPr>
          <w:sz w:val="26"/>
          <w:szCs w:val="26"/>
        </w:rPr>
        <w:t>AI-Based Consent Analytics:</w:t>
      </w:r>
    </w:p>
    <w:p w14:paraId="73415E55" w14:textId="3F72AFFB" w:rsidR="002F0262" w:rsidRPr="009D1086" w:rsidRDefault="002F0262" w:rsidP="009D1086">
      <w:pPr>
        <w:ind w:firstLine="720"/>
      </w:pPr>
      <w:r w:rsidRPr="00DA4F45">
        <w:t>Establish the use of machine learning and AI to anticipate, identify, and respond to risk of consent earlier. AI technology can track behavior patterns in a bid to anticipate likely cases of non-conformity, like bulk unsubscribes or data inconsistencies, in a way that enables responsive action</w:t>
      </w:r>
      <w:r w:rsidR="00BC204E">
        <w:t xml:space="preserve"> [20]</w:t>
      </w:r>
      <w:r w:rsidRPr="00DA4F45">
        <w:t>.</w:t>
      </w:r>
    </w:p>
    <w:p w14:paraId="2DCCE58E" w14:textId="4032BBAA" w:rsidR="002F0262" w:rsidRPr="00DA4F45" w:rsidRDefault="002F0262" w:rsidP="00A5390D">
      <w:pPr>
        <w:pStyle w:val="Heading20"/>
      </w:pPr>
      <w:r w:rsidRPr="00DA4F45">
        <w:lastRenderedPageBreak/>
        <w:t>Cross-Border Data Governance</w:t>
      </w:r>
      <w:r w:rsidR="00DA4F45" w:rsidRPr="00DA4F45">
        <w:t>:</w:t>
      </w:r>
    </w:p>
    <w:p w14:paraId="1C17FFC2" w14:textId="1A55A5E7" w:rsidR="002F0262" w:rsidRPr="009D1086" w:rsidRDefault="002F0262" w:rsidP="009D1086">
      <w:pPr>
        <w:ind w:firstLine="720"/>
      </w:pPr>
      <w:r w:rsidRPr="00DA4F45">
        <w:t>Develop cross-border work and data protection regimes under the GDPR Chapter V, e.g., through standard contractual clauses (SCCs) and adequacy decisions. Drawing from this study, Guerin Media will develop a strategy to expand its world model of governance without compromising national norms, e.g., the EU-US Data Privacy Framework</w:t>
      </w:r>
      <w:r w:rsidR="00BC204E">
        <w:t xml:space="preserve"> [20]</w:t>
      </w:r>
      <w:r w:rsidRPr="00DA4F45">
        <w:t>.</w:t>
      </w:r>
    </w:p>
    <w:p w14:paraId="5FBB69B3" w14:textId="75563050" w:rsidR="002F0262" w:rsidRPr="00DA4F45" w:rsidRDefault="002F0262" w:rsidP="00B56CD2">
      <w:pPr>
        <w:pStyle w:val="Heading20"/>
      </w:pPr>
      <w:r w:rsidRPr="00DA4F45">
        <w:t>Including Environmental and Sustainability Indicators</w:t>
      </w:r>
      <w:r w:rsidR="00DA4F45" w:rsidRPr="00DA4F45">
        <w:t>:</w:t>
      </w:r>
    </w:p>
    <w:p w14:paraId="3D423B5C" w14:textId="34FC0D7B" w:rsidR="002F0262" w:rsidRPr="00EB5FD1" w:rsidRDefault="002F0262" w:rsidP="00EB5FD1">
      <w:pPr>
        <w:ind w:firstLine="720"/>
      </w:pPr>
      <w:r w:rsidRPr="00DA4F45">
        <w:t>Weave environmental realities into data governance concepts such as energy-saving data, digital carbon footprint, and resource preservation. This aligns with the UN 2030 Agenda Point 41 where institutional development plans have embedded sustainability of the environment. With the integration of ethical data governance and the application of sustainability programs, Guerin Media can incorporate broader concepts of sustainability in order to achieve digital integrity, organizational accountability, and environmental sustainability</w:t>
      </w:r>
      <w:r w:rsidR="00BC204E">
        <w:t xml:space="preserve"> [20]</w:t>
      </w:r>
      <w:r w:rsidR="009D1086">
        <w:t>.</w:t>
      </w:r>
    </w:p>
    <w:p w14:paraId="6A579397" w14:textId="0CEBF1BF" w:rsidR="002F0262" w:rsidRPr="009D1086" w:rsidRDefault="002F0262" w:rsidP="009D1086">
      <w:pPr>
        <w:pStyle w:val="Heading20"/>
      </w:pPr>
      <w:r w:rsidRPr="00DA4F45">
        <w:t>Conclusion of Section 5</w:t>
      </w:r>
    </w:p>
    <w:p w14:paraId="3AFC3171" w14:textId="6D24E43A" w:rsidR="005F6CB8" w:rsidRDefault="002F0262" w:rsidP="00EB5FD1">
      <w:pPr>
        <w:ind w:firstLine="720"/>
      </w:pPr>
      <w:r w:rsidRPr="00DA4F45">
        <w:t xml:space="preserve">With the application of Exabeam's GDPR Article 5 compliance best practices, AI analytics, global data governance, and sustainability initiatives, Guerin Media has an easy-to-adopt formula for long-term ethical compliance, openness, and institutional resilience. The transition not only recovers lost trust but </w:t>
      </w:r>
      <w:r w:rsidR="005716E0">
        <w:t xml:space="preserve">also </w:t>
      </w:r>
      <w:r w:rsidRPr="00DA4F45">
        <w:t>puts the firm at the vanguard of information sustainable management, GDPR compliance, and the United Nations' SDG 16 objective of having open, peaceful, and inclusive institutions.</w:t>
      </w:r>
    </w:p>
    <w:p w14:paraId="2B1865EA" w14:textId="77777777" w:rsidR="008714B9" w:rsidRDefault="008714B9" w:rsidP="00EB5FD1">
      <w:pPr>
        <w:ind w:firstLine="720"/>
      </w:pPr>
    </w:p>
    <w:p w14:paraId="47AB77D0" w14:textId="77777777" w:rsidR="008714B9" w:rsidRDefault="008714B9" w:rsidP="00EB5FD1">
      <w:pPr>
        <w:ind w:firstLine="720"/>
      </w:pPr>
    </w:p>
    <w:p w14:paraId="2708EFF7" w14:textId="77777777" w:rsidR="008714B9" w:rsidRDefault="008714B9" w:rsidP="00EB5FD1">
      <w:pPr>
        <w:ind w:firstLine="720"/>
      </w:pPr>
    </w:p>
    <w:p w14:paraId="6EBBEE4B" w14:textId="77777777" w:rsidR="008714B9" w:rsidRDefault="008714B9" w:rsidP="00EB5FD1">
      <w:pPr>
        <w:ind w:firstLine="720"/>
      </w:pPr>
    </w:p>
    <w:p w14:paraId="49952A1F" w14:textId="77777777" w:rsidR="008714B9" w:rsidRDefault="008714B9" w:rsidP="00EB5FD1">
      <w:pPr>
        <w:ind w:firstLine="720"/>
      </w:pPr>
    </w:p>
    <w:p w14:paraId="42EA90B3" w14:textId="77777777" w:rsidR="008714B9" w:rsidRDefault="008714B9" w:rsidP="00EB5FD1">
      <w:pPr>
        <w:ind w:firstLine="720"/>
      </w:pPr>
    </w:p>
    <w:p w14:paraId="10A443CA" w14:textId="77777777" w:rsidR="008714B9" w:rsidRDefault="008714B9" w:rsidP="00EB5FD1">
      <w:pPr>
        <w:ind w:firstLine="720"/>
      </w:pPr>
    </w:p>
    <w:p w14:paraId="0FFA099F" w14:textId="2DAAD841" w:rsidR="002F0262" w:rsidRPr="00033C57" w:rsidRDefault="002F0262" w:rsidP="00E20B98">
      <w:pPr>
        <w:pStyle w:val="Heading1"/>
      </w:pPr>
      <w:r w:rsidRPr="00033C57">
        <w:t>Reference</w:t>
      </w:r>
      <w:r w:rsidR="00EC461B">
        <w:t>s</w:t>
      </w:r>
    </w:p>
    <w:p w14:paraId="064FD6A8" w14:textId="43C7B39A" w:rsidR="002F0262" w:rsidRDefault="00EB7CCE" w:rsidP="00821C6D">
      <w:r w:rsidRPr="00EB7CCE">
        <w:t xml:space="preserve">[1] Office of the Attorney General, S.I. No. 336/2011 - European Communities (Electronic Communications Networks and Services) (Privacy and Electronic Communications) Regulations 2011, Houses of the Oireachtas Service, 2011. [Online]. Available: </w:t>
      </w:r>
      <w:hyperlink r:id="rId12" w:tgtFrame="_new" w:history="1">
        <w:r w:rsidRPr="00EB7CCE">
          <w:rPr>
            <w:rStyle w:val="Hyperlink"/>
          </w:rPr>
          <w:t>https://www.irishstatutebook.ie/eli/2011/si/336/</w:t>
        </w:r>
      </w:hyperlink>
    </w:p>
    <w:p w14:paraId="494C7425" w14:textId="77777777" w:rsidR="007E70D0" w:rsidRDefault="007E70D0" w:rsidP="00821C6D"/>
    <w:p w14:paraId="44F40CB0" w14:textId="77566ACF" w:rsidR="001801DD" w:rsidRDefault="001801DD" w:rsidP="00821C6D">
      <w:r w:rsidRPr="001801DD">
        <w:lastRenderedPageBreak/>
        <w:t>[</w:t>
      </w:r>
      <w:r>
        <w:t>2</w:t>
      </w:r>
      <w:r w:rsidRPr="001801DD">
        <w:t xml:space="preserve">] European Parliament and the Council, Regulation (EU) 2016/679 of 27 April 2016 on the protection of natural persons with regard to the processing of personal data and on the free movement of such data (General Data Protection Regulation), OJ L 119 (4.5.2016) 1. [Online]. Available: </w:t>
      </w:r>
      <w:hyperlink r:id="rId13" w:tgtFrame="_new" w:history="1">
        <w:r w:rsidRPr="001801DD">
          <w:rPr>
            <w:rStyle w:val="Hyperlink"/>
          </w:rPr>
          <w:t>https://eur-lex.europa.eu/eli/reg/2016/679/</w:t>
        </w:r>
      </w:hyperlink>
    </w:p>
    <w:p w14:paraId="0BC16A26" w14:textId="77777777" w:rsidR="00DB689E" w:rsidRDefault="00DB689E" w:rsidP="00821C6D"/>
    <w:p w14:paraId="3DA268DD" w14:textId="09A74939" w:rsidR="00464223" w:rsidRDefault="00DB689E" w:rsidP="00821C6D">
      <w:pPr>
        <w:rPr>
          <w:lang w:val="en-US"/>
        </w:rPr>
      </w:pPr>
      <w:r>
        <w:rPr>
          <w:lang w:val="en-US"/>
        </w:rPr>
        <w:t xml:space="preserve">[3] </w:t>
      </w:r>
      <w:r w:rsidRPr="00DB689E">
        <w:rPr>
          <w:lang w:val="en-US"/>
        </w:rPr>
        <w:t>L. Floridi and M. Taddeo, “What is data ethics?,” Philosophical Transactions of the Royal Society a Mathematical Physical and Engineering Sciences, vol. 374, no. 2083, p. 20160360, Nov. 2016, doi: 10.1098/rsta.2016.0360.</w:t>
      </w:r>
      <w:r>
        <w:rPr>
          <w:lang w:val="en-US"/>
        </w:rPr>
        <w:t xml:space="preserve"> [Online]. Available at: </w:t>
      </w:r>
      <w:hyperlink r:id="rId14" w:history="1">
        <w:r w:rsidR="00A41086" w:rsidRPr="00E82354">
          <w:rPr>
            <w:rStyle w:val="Hyperlink"/>
            <w:lang w:val="en-US"/>
          </w:rPr>
          <w:t>https://royalsocietypublishing.org/doi/10.1098/rsta.2016.0360</w:t>
        </w:r>
      </w:hyperlink>
    </w:p>
    <w:p w14:paraId="26286925" w14:textId="77777777" w:rsidR="007E70D0" w:rsidRPr="007E70D0" w:rsidRDefault="007E70D0" w:rsidP="00821C6D">
      <w:pPr>
        <w:rPr>
          <w:lang w:val="en-US"/>
        </w:rPr>
      </w:pPr>
    </w:p>
    <w:p w14:paraId="56FF5AAB" w14:textId="3AFBDD5A" w:rsidR="00EB7CCE" w:rsidRDefault="00A41086" w:rsidP="00821C6D">
      <w:r>
        <w:t>[4</w:t>
      </w:r>
      <w:r w:rsidR="00464223" w:rsidRPr="00464223">
        <w:t xml:space="preserve">] G. Frosio, “It’s all linked: How communication to the public affects internet architecture,” Comput. Law &amp; Security Rev., vol. 37, 105410, 2020. [Online]. Available: </w:t>
      </w:r>
      <w:hyperlink r:id="rId15" w:history="1">
        <w:r w:rsidR="00A4706D" w:rsidRPr="00E82354">
          <w:rPr>
            <w:rStyle w:val="Hyperlink"/>
          </w:rPr>
          <w:t>https://www.sciencedirect.com/science/article/abs/pii/S02673649203001575</w:t>
        </w:r>
      </w:hyperlink>
    </w:p>
    <w:p w14:paraId="2E012C1A" w14:textId="77777777" w:rsidR="00A4706D" w:rsidRDefault="00A4706D" w:rsidP="00821C6D"/>
    <w:p w14:paraId="180A1087" w14:textId="77777777" w:rsidR="00A4706D" w:rsidRPr="00A4706D" w:rsidRDefault="00A4706D" w:rsidP="00821C6D">
      <w:pPr>
        <w:rPr>
          <w:rFonts w:ascii="Verdana" w:hAnsi="Verdana"/>
          <w:sz w:val="18"/>
          <w:lang w:val="en-US"/>
        </w:rPr>
      </w:pPr>
      <w:r>
        <w:t xml:space="preserve">[5] </w:t>
      </w:r>
      <w:r w:rsidRPr="00A4706D">
        <w:rPr>
          <w:rFonts w:ascii="Verdana" w:hAnsi="Verdana"/>
          <w:sz w:val="18"/>
          <w:lang w:val="en-US"/>
        </w:rPr>
        <w:t>“Goal 16 | Department of Economic and Social Affairs.” https://sdgs.un.org/goals/goal16</w:t>
      </w:r>
    </w:p>
    <w:p w14:paraId="160742B3" w14:textId="36274866" w:rsidR="00A4706D" w:rsidRDefault="00A4706D" w:rsidP="00821C6D">
      <w:r>
        <w:t xml:space="preserve"> [Online]. Available at: </w:t>
      </w:r>
      <w:hyperlink r:id="rId16" w:history="1">
        <w:r w:rsidR="00495802" w:rsidRPr="00E82354">
          <w:rPr>
            <w:rStyle w:val="Hyperlink"/>
          </w:rPr>
          <w:t>https://sdgs.un.org/goals/goal16</w:t>
        </w:r>
      </w:hyperlink>
    </w:p>
    <w:p w14:paraId="6675D7B1" w14:textId="77777777" w:rsidR="00495802" w:rsidRDefault="00495802" w:rsidP="00821C6D"/>
    <w:p w14:paraId="03FB8192" w14:textId="2AE6D6A3" w:rsidR="00495802" w:rsidRDefault="00495802" w:rsidP="00821C6D">
      <w:r>
        <w:t>[6]</w:t>
      </w:r>
      <w:r w:rsidR="00BD677C">
        <w:t xml:space="preserve"> </w:t>
      </w:r>
      <w:r w:rsidR="00BD677C" w:rsidRPr="00BD677C">
        <w:t xml:space="preserve">Data Protection Commission, Case Studies (Annual Report) – 2022, Data Protection Commission, 2022. [Online]. Available: </w:t>
      </w:r>
      <w:hyperlink r:id="rId17" w:anchor="202210" w:tgtFrame="_new" w:history="1">
        <w:r w:rsidR="00BD677C" w:rsidRPr="00BD677C">
          <w:rPr>
            <w:rStyle w:val="Hyperlink"/>
          </w:rPr>
          <w:t>https://www.dataprotection.ie/en/dpc-guidance/case-studies-annual-report#202210</w:t>
        </w:r>
      </w:hyperlink>
    </w:p>
    <w:p w14:paraId="3CC11E3D" w14:textId="77777777" w:rsidR="00B67173" w:rsidRDefault="00B67173" w:rsidP="00821C6D"/>
    <w:p w14:paraId="5C8A443F" w14:textId="6E5292B2" w:rsidR="00B67173" w:rsidRDefault="00B67173" w:rsidP="00821C6D">
      <w:pPr>
        <w:rPr>
          <w:lang w:val="en-US"/>
        </w:rPr>
      </w:pPr>
      <w:r>
        <w:t>[7]</w:t>
      </w:r>
      <w:r w:rsidR="00124B51">
        <w:t xml:space="preserve"> </w:t>
      </w:r>
      <w:r w:rsidR="00124B51" w:rsidRPr="00124B51">
        <w:rPr>
          <w:rFonts w:ascii="Verdana" w:hAnsi="Verdana"/>
          <w:sz w:val="18"/>
          <w:lang w:val="en-US"/>
        </w:rPr>
        <w:t xml:space="preserve">Office of the Attorney General, “S.I. No. 336/2011 - European Communities (Electronic Communications Networks and Services) (Privacy and Electronic Communications) Regulations 2011.,” (C) Houses of the Oireachtas Service. </w:t>
      </w:r>
      <w:hyperlink r:id="rId18" w:anchor="Regulation13" w:history="1">
        <w:r w:rsidR="00124B51" w:rsidRPr="00E82354">
          <w:rPr>
            <w:rStyle w:val="Hyperlink"/>
            <w:lang w:val="en-US"/>
          </w:rPr>
          <w:t>http://www.irishstatutebook.ie/eli/2011/si/336/made#Regulation13</w:t>
        </w:r>
      </w:hyperlink>
    </w:p>
    <w:p w14:paraId="5AEA0092" w14:textId="77777777" w:rsidR="007E70D0" w:rsidRPr="007E70D0" w:rsidRDefault="007E70D0" w:rsidP="00821C6D">
      <w:pPr>
        <w:rPr>
          <w:lang w:val="en-US"/>
        </w:rPr>
      </w:pPr>
    </w:p>
    <w:p w14:paraId="50D43198" w14:textId="0DEFBE43" w:rsidR="004777C5" w:rsidRDefault="00B67173" w:rsidP="00821C6D">
      <w:pPr>
        <w:rPr>
          <w:lang w:val="en-US"/>
        </w:rPr>
      </w:pPr>
      <w:r>
        <w:t>[8]</w:t>
      </w:r>
      <w:r w:rsidR="004777C5">
        <w:t xml:space="preserve"> </w:t>
      </w:r>
      <w:r w:rsidR="004777C5" w:rsidRPr="004777C5">
        <w:rPr>
          <w:rFonts w:ascii="Verdana" w:hAnsi="Verdana"/>
          <w:sz w:val="18"/>
          <w:lang w:val="en-US"/>
        </w:rPr>
        <w:t xml:space="preserve">“Regulation - 2016/679 - EN - gdpr - EUR-Lex.” </w:t>
      </w:r>
      <w:hyperlink r:id="rId19" w:anchor="art6" w:history="1">
        <w:r w:rsidR="000F491A" w:rsidRPr="00E82354">
          <w:rPr>
            <w:rStyle w:val="Hyperlink"/>
            <w:lang w:val="en-US"/>
          </w:rPr>
          <w:t>https://eur-lex.europa.eu/eli/reg/2016/679/oj#art6</w:t>
        </w:r>
      </w:hyperlink>
    </w:p>
    <w:p w14:paraId="3E4B22EB" w14:textId="77777777" w:rsidR="000F491A" w:rsidRDefault="000F491A" w:rsidP="00821C6D">
      <w:pPr>
        <w:rPr>
          <w:lang w:val="en-US"/>
        </w:rPr>
      </w:pPr>
    </w:p>
    <w:p w14:paraId="516D4F87" w14:textId="038E7764" w:rsidR="000F491A" w:rsidRDefault="000F491A" w:rsidP="00821C6D">
      <w:pPr>
        <w:rPr>
          <w:lang w:val="en-US"/>
        </w:rPr>
      </w:pPr>
      <w:r>
        <w:rPr>
          <w:lang w:val="en-US"/>
        </w:rPr>
        <w:t xml:space="preserve">[9] </w:t>
      </w:r>
      <w:r w:rsidRPr="000F491A">
        <w:rPr>
          <w:rFonts w:ascii="Verdana" w:hAnsi="Verdana"/>
          <w:sz w:val="18"/>
          <w:lang w:val="en-US"/>
        </w:rPr>
        <w:t xml:space="preserve">“Regulation - 2016/679 - EN - gdpr - EUR-Lex.” </w:t>
      </w:r>
      <w:hyperlink r:id="rId20" w:anchor="art5" w:history="1">
        <w:r w:rsidR="00145475" w:rsidRPr="00E82354">
          <w:rPr>
            <w:rStyle w:val="Hyperlink"/>
            <w:lang w:val="en-US"/>
          </w:rPr>
          <w:t>https://eur-lex.europa.eu/eli/reg/2016/679/oj#art5</w:t>
        </w:r>
      </w:hyperlink>
    </w:p>
    <w:p w14:paraId="1FD35AC9" w14:textId="77777777" w:rsidR="007E70D0" w:rsidRDefault="007E70D0" w:rsidP="00821C6D">
      <w:pPr>
        <w:rPr>
          <w:lang w:val="en-US"/>
        </w:rPr>
      </w:pPr>
    </w:p>
    <w:p w14:paraId="65A83332" w14:textId="4F82820D" w:rsidR="00145475" w:rsidRDefault="00145475" w:rsidP="00821C6D">
      <w:pPr>
        <w:rPr>
          <w:lang w:val="en-US"/>
        </w:rPr>
      </w:pPr>
      <w:r>
        <w:rPr>
          <w:lang w:val="en-US"/>
        </w:rPr>
        <w:t xml:space="preserve">[10] </w:t>
      </w:r>
      <w:r w:rsidRPr="00145475">
        <w:rPr>
          <w:lang w:val="en-US"/>
        </w:rPr>
        <w:t xml:space="preserve">“Regulation - 2016/679 - EN - gdpr - EUR-Lex.” </w:t>
      </w:r>
      <w:hyperlink r:id="rId21" w:anchor="art25" w:history="1">
        <w:r w:rsidRPr="00145475">
          <w:rPr>
            <w:rStyle w:val="Hyperlink"/>
            <w:lang w:val="en-US"/>
          </w:rPr>
          <w:t>https://eur-lex.europa.eu/eli/reg/2016/679/oj#art25</w:t>
        </w:r>
      </w:hyperlink>
    </w:p>
    <w:p w14:paraId="2567060C" w14:textId="77777777" w:rsidR="006D6428" w:rsidRDefault="006D6428" w:rsidP="00821C6D">
      <w:pPr>
        <w:rPr>
          <w:lang w:val="en-US"/>
        </w:rPr>
      </w:pPr>
    </w:p>
    <w:p w14:paraId="6207EDC3" w14:textId="5B12DB20" w:rsidR="006D6428" w:rsidRDefault="006D6428" w:rsidP="00821C6D">
      <w:pPr>
        <w:rPr>
          <w:lang w:val="en-US"/>
        </w:rPr>
      </w:pPr>
      <w:r>
        <w:rPr>
          <w:lang w:val="en-US"/>
        </w:rPr>
        <w:lastRenderedPageBreak/>
        <w:t xml:space="preserve">[11] </w:t>
      </w:r>
      <w:r w:rsidRPr="006D6428">
        <w:rPr>
          <w:rFonts w:ascii="Verdana" w:hAnsi="Verdana"/>
          <w:sz w:val="18"/>
          <w:lang w:val="en-US"/>
        </w:rPr>
        <w:t xml:space="preserve">Exabeam, “GDPR Article 5: Key Principles and 6 compliance Best Practices | Exabeam,” Exabeam, Jun. 27, 2025. </w:t>
      </w:r>
      <w:hyperlink r:id="rId22" w:history="1">
        <w:r w:rsidRPr="00E82354">
          <w:rPr>
            <w:rStyle w:val="Hyperlink"/>
            <w:lang w:val="en-US"/>
          </w:rPr>
          <w:t>https://www.exabeam.com/explainers/gdpr-compliance/gdpr-article-5-key-principles-and-6-compliance-best-practices/</w:t>
        </w:r>
      </w:hyperlink>
    </w:p>
    <w:p w14:paraId="3C047C7D" w14:textId="77777777" w:rsidR="00E978E5" w:rsidRDefault="00E978E5" w:rsidP="00821C6D">
      <w:pPr>
        <w:rPr>
          <w:lang w:val="en-US"/>
        </w:rPr>
      </w:pPr>
    </w:p>
    <w:p w14:paraId="562BD293" w14:textId="3D0D3AA9" w:rsidR="00E978E5" w:rsidRPr="00E978E5" w:rsidRDefault="00E978E5" w:rsidP="00821C6D">
      <w:pPr>
        <w:rPr>
          <w:lang w:val="en-US"/>
        </w:rPr>
      </w:pPr>
      <w:r>
        <w:rPr>
          <w:lang w:val="en-US"/>
        </w:rPr>
        <w:t xml:space="preserve">[12] </w:t>
      </w:r>
      <w:r w:rsidRPr="00E978E5">
        <w:rPr>
          <w:lang w:val="en-US"/>
        </w:rPr>
        <w:t>“Art. 12 GDPR – Transparent information, communication and modalities for the exercise of the rights of the data subject - General Data Protection Regulation (GDPR),” General Data Protection Regulation (GDPR), Aug. 13, 2025. https://gdpr-info.eu/art-12-gdpr/</w:t>
      </w:r>
    </w:p>
    <w:p w14:paraId="1626E3CD" w14:textId="77777777" w:rsidR="00E978E5" w:rsidRDefault="00E978E5" w:rsidP="00821C6D">
      <w:pPr>
        <w:rPr>
          <w:lang w:val="en-US"/>
        </w:rPr>
      </w:pPr>
    </w:p>
    <w:p w14:paraId="040973A9" w14:textId="6822479C" w:rsidR="00E27C06" w:rsidRDefault="00E27C06" w:rsidP="00821C6D">
      <w:pPr>
        <w:rPr>
          <w:lang w:val="en-US"/>
        </w:rPr>
      </w:pPr>
      <w:r>
        <w:rPr>
          <w:lang w:val="en-US"/>
        </w:rPr>
        <w:t xml:space="preserve">[13] </w:t>
      </w:r>
      <w:r w:rsidRPr="00E27C06">
        <w:rPr>
          <w:lang w:val="en-US"/>
        </w:rPr>
        <w:t xml:space="preserve">“Art. 15 GDPR – Right of access by the data subject - General Data Protection Regulation (GDPR),” General Data Protection Regulation (GDPR), Mar. 28, 2018. </w:t>
      </w:r>
      <w:hyperlink r:id="rId23" w:history="1">
        <w:r w:rsidRPr="00E27C06">
          <w:rPr>
            <w:rStyle w:val="Hyperlink"/>
            <w:lang w:val="en-US"/>
          </w:rPr>
          <w:t>https://gdpr-info.eu/art-15-gdpr/</w:t>
        </w:r>
      </w:hyperlink>
    </w:p>
    <w:p w14:paraId="6ED4C986" w14:textId="77777777" w:rsidR="005F6CB8" w:rsidRDefault="005F6CB8" w:rsidP="00821C6D">
      <w:pPr>
        <w:rPr>
          <w:lang w:val="en-US"/>
        </w:rPr>
      </w:pPr>
    </w:p>
    <w:p w14:paraId="54E17DC9" w14:textId="56848F75" w:rsidR="0068142A" w:rsidRDefault="00E27C06" w:rsidP="00821C6D">
      <w:pPr>
        <w:rPr>
          <w:lang w:val="en-US"/>
        </w:rPr>
      </w:pPr>
      <w:r>
        <w:rPr>
          <w:lang w:val="en-US"/>
        </w:rPr>
        <w:t>[14]</w:t>
      </w:r>
      <w:r w:rsidR="0068142A">
        <w:rPr>
          <w:lang w:val="en-US"/>
        </w:rPr>
        <w:t xml:space="preserve"> </w:t>
      </w:r>
      <w:r w:rsidR="0068142A" w:rsidRPr="0068142A">
        <w:rPr>
          <w:rFonts w:ascii="Verdana" w:hAnsi="Verdana"/>
          <w:sz w:val="18"/>
          <w:lang w:val="en-US"/>
        </w:rPr>
        <w:t xml:space="preserve">“Art. 25 GDPR – Data protection by design and by default - General Data Protection Regulation (GDPR),” General Data Protection Regulation (GDPR), Mar. 28, 2018. </w:t>
      </w:r>
      <w:hyperlink r:id="rId24" w:history="1">
        <w:r w:rsidR="0068142A" w:rsidRPr="00E82354">
          <w:rPr>
            <w:rStyle w:val="Hyperlink"/>
            <w:lang w:val="en-US"/>
          </w:rPr>
          <w:t>https://gdpr-info.eu/art-25-gdpr/</w:t>
        </w:r>
      </w:hyperlink>
    </w:p>
    <w:p w14:paraId="540A6189" w14:textId="77777777" w:rsidR="005F6CB8" w:rsidRDefault="005F6CB8" w:rsidP="00821C6D">
      <w:pPr>
        <w:rPr>
          <w:lang w:val="en-US"/>
        </w:rPr>
      </w:pPr>
    </w:p>
    <w:p w14:paraId="5454BF47" w14:textId="215338C4" w:rsidR="005F6CB8" w:rsidRDefault="005F6CB8" w:rsidP="00821C6D">
      <w:pPr>
        <w:rPr>
          <w:lang w:val="en-US"/>
        </w:rPr>
      </w:pPr>
      <w:r>
        <w:rPr>
          <w:lang w:val="en-US"/>
        </w:rPr>
        <w:t xml:space="preserve">[15] </w:t>
      </w:r>
      <w:r w:rsidRPr="005F6CB8">
        <w:rPr>
          <w:lang w:val="en-US"/>
        </w:rPr>
        <w:t xml:space="preserve">Office of the Attorney General, “S.I. No. 336/2011 - European Communities (Electronic Communications Networks and Services) (Privacy and Electronic Communications) Regulations 2011.,” (C) Houses of the Oireachtas Service. </w:t>
      </w:r>
      <w:hyperlink r:id="rId25" w:history="1">
        <w:r w:rsidR="00D4363D" w:rsidRPr="005F6CB8">
          <w:rPr>
            <w:rStyle w:val="Hyperlink"/>
            <w:lang w:val="en-US"/>
          </w:rPr>
          <w:t>https://www.irishstatutebook.ie/eli/2011/si/336/</w:t>
        </w:r>
      </w:hyperlink>
    </w:p>
    <w:p w14:paraId="44ED612F" w14:textId="77777777" w:rsidR="00D4363D" w:rsidRDefault="00D4363D" w:rsidP="00821C6D">
      <w:pPr>
        <w:rPr>
          <w:lang w:val="en-US"/>
        </w:rPr>
      </w:pPr>
    </w:p>
    <w:p w14:paraId="48F8FD2C" w14:textId="053A539A" w:rsidR="00D4363D" w:rsidRDefault="00D4363D" w:rsidP="00821C6D">
      <w:pPr>
        <w:rPr>
          <w:lang w:val="en-US"/>
        </w:rPr>
      </w:pPr>
      <w:r>
        <w:rPr>
          <w:lang w:val="en-US"/>
        </w:rPr>
        <w:t xml:space="preserve">[16] </w:t>
      </w:r>
      <w:r w:rsidRPr="00D4363D">
        <w:rPr>
          <w:lang w:val="en-US"/>
        </w:rPr>
        <w:t xml:space="preserve">“The Code affirms an obligation of computing professionals to use their skills for the benefit of society.” </w:t>
      </w:r>
      <w:hyperlink r:id="rId26" w:history="1">
        <w:r w:rsidRPr="00D4363D">
          <w:rPr>
            <w:rStyle w:val="Hyperlink"/>
            <w:lang w:val="en-US"/>
          </w:rPr>
          <w:t>https://ethics.acm.org/code-of-ethics/</w:t>
        </w:r>
      </w:hyperlink>
    </w:p>
    <w:p w14:paraId="083FAC46" w14:textId="77777777" w:rsidR="002B53E3" w:rsidRDefault="002B53E3" w:rsidP="00821C6D">
      <w:pPr>
        <w:rPr>
          <w:lang w:val="en-US"/>
        </w:rPr>
      </w:pPr>
    </w:p>
    <w:p w14:paraId="741241D2" w14:textId="2C7A91E1" w:rsidR="002B53E3" w:rsidRDefault="002B53E3" w:rsidP="00821C6D">
      <w:pPr>
        <w:rPr>
          <w:lang w:val="en-US"/>
        </w:rPr>
      </w:pPr>
      <w:r>
        <w:rPr>
          <w:lang w:val="en-US"/>
        </w:rPr>
        <w:t xml:space="preserve">[17] </w:t>
      </w:r>
      <w:r w:rsidRPr="002B53E3">
        <w:rPr>
          <w:lang w:val="en-US"/>
        </w:rPr>
        <w:t xml:space="preserve">“Art. 83 GDPR – General conditions for imposing administrative fines - General Data Protection Regulation (GDPR),” General Data Protection Regulation (GDPR), Mar. 29, 2018. </w:t>
      </w:r>
      <w:hyperlink r:id="rId27" w:history="1">
        <w:r w:rsidRPr="002B53E3">
          <w:rPr>
            <w:rStyle w:val="Hyperlink"/>
            <w:lang w:val="en-US"/>
          </w:rPr>
          <w:t>https://gdpr-info.eu/art-83-gdpr/</w:t>
        </w:r>
      </w:hyperlink>
    </w:p>
    <w:p w14:paraId="64CB69F2" w14:textId="77777777" w:rsidR="002B53E3" w:rsidRDefault="002B53E3" w:rsidP="00821C6D">
      <w:pPr>
        <w:rPr>
          <w:lang w:val="en-US"/>
        </w:rPr>
      </w:pPr>
    </w:p>
    <w:p w14:paraId="2B27F166" w14:textId="701D25BD" w:rsidR="00F156F7" w:rsidRDefault="00F156F7" w:rsidP="00821C6D">
      <w:pPr>
        <w:rPr>
          <w:lang w:val="en-US"/>
        </w:rPr>
      </w:pPr>
      <w:r>
        <w:rPr>
          <w:lang w:val="en-US"/>
        </w:rPr>
        <w:t xml:space="preserve">[18] </w:t>
      </w:r>
      <w:r w:rsidRPr="00F156F7">
        <w:rPr>
          <w:lang w:val="en-US"/>
        </w:rPr>
        <w:t xml:space="preserve">“Art. 17 GDPR – Right to erasure (‘right to be forgotten’) - General Data Protection Regulation (GDPR),” General Data Protection Regulation (GDPR), Jun. 12, 2017. </w:t>
      </w:r>
      <w:hyperlink r:id="rId28" w:history="1">
        <w:r w:rsidR="009F5A59" w:rsidRPr="00F156F7">
          <w:rPr>
            <w:rStyle w:val="Hyperlink"/>
            <w:lang w:val="en-US"/>
          </w:rPr>
          <w:t>https://gdpr-info.eu/art-17-gdpr/</w:t>
        </w:r>
      </w:hyperlink>
    </w:p>
    <w:p w14:paraId="07459A92" w14:textId="77777777" w:rsidR="009F5A59" w:rsidRDefault="009F5A59" w:rsidP="00821C6D">
      <w:pPr>
        <w:rPr>
          <w:lang w:val="en-US"/>
        </w:rPr>
      </w:pPr>
    </w:p>
    <w:p w14:paraId="0EAB2361" w14:textId="5260A388" w:rsidR="009F5A59" w:rsidRDefault="009F5A59" w:rsidP="00821C6D">
      <w:pPr>
        <w:rPr>
          <w:lang w:val="en-US"/>
        </w:rPr>
      </w:pPr>
      <w:r>
        <w:rPr>
          <w:lang w:val="en-US"/>
        </w:rPr>
        <w:t xml:space="preserve">[19] </w:t>
      </w:r>
      <w:r w:rsidRPr="009F5A59">
        <w:rPr>
          <w:rFonts w:ascii="Verdana" w:hAnsi="Verdana"/>
          <w:sz w:val="18"/>
          <w:lang w:val="en-US"/>
        </w:rPr>
        <w:t xml:space="preserve">Exabeam, “GDPR Article 5: Key Principles and 6 compliance Best Practices | Exabeam,” Exabeam, Jun. 27, 2025. </w:t>
      </w:r>
      <w:hyperlink r:id="rId29" w:history="1">
        <w:r w:rsidRPr="00E82354">
          <w:rPr>
            <w:rStyle w:val="Hyperlink"/>
            <w:lang w:val="en-US"/>
          </w:rPr>
          <w:t>https://www.exabeam.com/explainers/gdpr-compliance/gdpr-article-5-key-principles-and-6-compliance-best-practices/</w:t>
        </w:r>
      </w:hyperlink>
    </w:p>
    <w:p w14:paraId="3577308F" w14:textId="77777777" w:rsidR="009F5A59" w:rsidRDefault="009F5A59" w:rsidP="00821C6D">
      <w:pPr>
        <w:rPr>
          <w:lang w:val="en-US"/>
        </w:rPr>
      </w:pPr>
    </w:p>
    <w:p w14:paraId="77E3DFCA" w14:textId="32DB7F03" w:rsidR="00F13B4C" w:rsidRPr="005373CA" w:rsidRDefault="00D9674D" w:rsidP="005373CA">
      <w:pPr>
        <w:rPr>
          <w:lang w:val="en-US"/>
        </w:rPr>
      </w:pPr>
      <w:r>
        <w:rPr>
          <w:lang w:val="en-US"/>
        </w:rPr>
        <w:t xml:space="preserve">[20] </w:t>
      </w:r>
      <w:r w:rsidRPr="00D9674D">
        <w:rPr>
          <w:lang w:val="en-US"/>
        </w:rPr>
        <w:t xml:space="preserve">“Transforming our world: the 2030 Agenda for Sustainable Development | Department of Economic and Social Affairs.” </w:t>
      </w:r>
      <w:hyperlink r:id="rId30" w:history="1">
        <w:r w:rsidR="002343C8" w:rsidRPr="00D9674D">
          <w:rPr>
            <w:rStyle w:val="Hyperlink"/>
            <w:lang w:val="en-US"/>
          </w:rPr>
          <w:t>https://sdgs.un.org/2030agenda</w:t>
        </w:r>
      </w:hyperlink>
    </w:p>
    <w:sectPr w:rsidR="00F13B4C" w:rsidRPr="005373CA" w:rsidSect="00C73518">
      <w:pgSz w:w="11906" w:h="16838"/>
      <w:pgMar w:top="1276" w:right="926" w:bottom="1560" w:left="9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E8CA7" w14:textId="77777777" w:rsidR="00B52225" w:rsidRDefault="00B52225" w:rsidP="00F13B4C">
      <w:r>
        <w:separator/>
      </w:r>
    </w:p>
  </w:endnote>
  <w:endnote w:type="continuationSeparator" w:id="0">
    <w:p w14:paraId="57A28024" w14:textId="77777777" w:rsidR="00B52225" w:rsidRDefault="00B52225" w:rsidP="00F13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77387" w14:textId="77777777" w:rsidR="00B52225" w:rsidRDefault="00B52225" w:rsidP="00F13B4C">
      <w:r>
        <w:separator/>
      </w:r>
    </w:p>
  </w:footnote>
  <w:footnote w:type="continuationSeparator" w:id="0">
    <w:p w14:paraId="03EC1854" w14:textId="77777777" w:rsidR="00B52225" w:rsidRDefault="00B52225" w:rsidP="00F13B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D278C"/>
    <w:multiLevelType w:val="multilevel"/>
    <w:tmpl w:val="97201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9413A5"/>
    <w:multiLevelType w:val="hybridMultilevel"/>
    <w:tmpl w:val="B6AE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495F2D"/>
    <w:multiLevelType w:val="multilevel"/>
    <w:tmpl w:val="2DE2C46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863FAC"/>
    <w:multiLevelType w:val="hybridMultilevel"/>
    <w:tmpl w:val="C0C8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E2334A"/>
    <w:multiLevelType w:val="multilevel"/>
    <w:tmpl w:val="D010967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3440444">
    <w:abstractNumId w:val="0"/>
  </w:num>
  <w:num w:numId="2" w16cid:durableId="469176439">
    <w:abstractNumId w:val="2"/>
  </w:num>
  <w:num w:numId="3" w16cid:durableId="1836414416">
    <w:abstractNumId w:val="4"/>
  </w:num>
  <w:num w:numId="4" w16cid:durableId="718166338">
    <w:abstractNumId w:val="3"/>
  </w:num>
  <w:num w:numId="5" w16cid:durableId="625891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0055A0"/>
    <w:rsid w:val="0001333D"/>
    <w:rsid w:val="00015492"/>
    <w:rsid w:val="00016CFF"/>
    <w:rsid w:val="00033C57"/>
    <w:rsid w:val="00054488"/>
    <w:rsid w:val="00060470"/>
    <w:rsid w:val="000A2961"/>
    <w:rsid w:val="000A437B"/>
    <w:rsid w:val="000A7D62"/>
    <w:rsid w:val="000C22EA"/>
    <w:rsid w:val="000D48C1"/>
    <w:rsid w:val="000D6353"/>
    <w:rsid w:val="000F491A"/>
    <w:rsid w:val="00105463"/>
    <w:rsid w:val="00110527"/>
    <w:rsid w:val="00124B51"/>
    <w:rsid w:val="00132491"/>
    <w:rsid w:val="00143B30"/>
    <w:rsid w:val="00145475"/>
    <w:rsid w:val="0017228D"/>
    <w:rsid w:val="001801DD"/>
    <w:rsid w:val="00182FEB"/>
    <w:rsid w:val="001A10F7"/>
    <w:rsid w:val="001A3D76"/>
    <w:rsid w:val="001B0B84"/>
    <w:rsid w:val="001B4803"/>
    <w:rsid w:val="001C76A5"/>
    <w:rsid w:val="001C784C"/>
    <w:rsid w:val="001E146D"/>
    <w:rsid w:val="001E3D59"/>
    <w:rsid w:val="001F56D1"/>
    <w:rsid w:val="00213B7B"/>
    <w:rsid w:val="00226124"/>
    <w:rsid w:val="00233E80"/>
    <w:rsid w:val="002343C8"/>
    <w:rsid w:val="00241E3D"/>
    <w:rsid w:val="0025355A"/>
    <w:rsid w:val="002A2407"/>
    <w:rsid w:val="002B53E3"/>
    <w:rsid w:val="002E22BA"/>
    <w:rsid w:val="002E39E7"/>
    <w:rsid w:val="002E699F"/>
    <w:rsid w:val="002E6CA0"/>
    <w:rsid w:val="002F0262"/>
    <w:rsid w:val="002F4CBF"/>
    <w:rsid w:val="002F7757"/>
    <w:rsid w:val="00301EAD"/>
    <w:rsid w:val="00305958"/>
    <w:rsid w:val="00313698"/>
    <w:rsid w:val="00315033"/>
    <w:rsid w:val="00315ADB"/>
    <w:rsid w:val="0032385A"/>
    <w:rsid w:val="003250BA"/>
    <w:rsid w:val="003360FD"/>
    <w:rsid w:val="00343C8D"/>
    <w:rsid w:val="00344504"/>
    <w:rsid w:val="00344EE1"/>
    <w:rsid w:val="00346E9B"/>
    <w:rsid w:val="003554EA"/>
    <w:rsid w:val="003626DF"/>
    <w:rsid w:val="003649A3"/>
    <w:rsid w:val="00373CE1"/>
    <w:rsid w:val="0037752B"/>
    <w:rsid w:val="003828C7"/>
    <w:rsid w:val="003901EB"/>
    <w:rsid w:val="00390D74"/>
    <w:rsid w:val="003C1AD0"/>
    <w:rsid w:val="003C1E68"/>
    <w:rsid w:val="003C61B8"/>
    <w:rsid w:val="003D26E5"/>
    <w:rsid w:val="003D596B"/>
    <w:rsid w:val="00404DB7"/>
    <w:rsid w:val="00406156"/>
    <w:rsid w:val="00406EB3"/>
    <w:rsid w:val="00414032"/>
    <w:rsid w:val="0041709A"/>
    <w:rsid w:val="0043310F"/>
    <w:rsid w:val="00433C72"/>
    <w:rsid w:val="00440AF5"/>
    <w:rsid w:val="00453745"/>
    <w:rsid w:val="00461B8E"/>
    <w:rsid w:val="00464223"/>
    <w:rsid w:val="004777C5"/>
    <w:rsid w:val="0048591A"/>
    <w:rsid w:val="004870BD"/>
    <w:rsid w:val="00491215"/>
    <w:rsid w:val="00495802"/>
    <w:rsid w:val="004A2C05"/>
    <w:rsid w:val="004E5BEF"/>
    <w:rsid w:val="0050395B"/>
    <w:rsid w:val="0050475D"/>
    <w:rsid w:val="00504B6B"/>
    <w:rsid w:val="00505CBD"/>
    <w:rsid w:val="00517F1A"/>
    <w:rsid w:val="00531A03"/>
    <w:rsid w:val="005373CA"/>
    <w:rsid w:val="0054522F"/>
    <w:rsid w:val="00553541"/>
    <w:rsid w:val="00560A7C"/>
    <w:rsid w:val="005716E0"/>
    <w:rsid w:val="00592824"/>
    <w:rsid w:val="00595312"/>
    <w:rsid w:val="005A4CDE"/>
    <w:rsid w:val="005D3A0B"/>
    <w:rsid w:val="005F6CB8"/>
    <w:rsid w:val="00623A55"/>
    <w:rsid w:val="00646B6C"/>
    <w:rsid w:val="0064721C"/>
    <w:rsid w:val="006652C9"/>
    <w:rsid w:val="00665A5E"/>
    <w:rsid w:val="0067688B"/>
    <w:rsid w:val="0068142A"/>
    <w:rsid w:val="006834F5"/>
    <w:rsid w:val="00683BB7"/>
    <w:rsid w:val="00690589"/>
    <w:rsid w:val="006A077E"/>
    <w:rsid w:val="006B6FBF"/>
    <w:rsid w:val="006C6D88"/>
    <w:rsid w:val="006D2435"/>
    <w:rsid w:val="006D6428"/>
    <w:rsid w:val="006E330C"/>
    <w:rsid w:val="00700992"/>
    <w:rsid w:val="00706576"/>
    <w:rsid w:val="007468A1"/>
    <w:rsid w:val="00756C86"/>
    <w:rsid w:val="00762132"/>
    <w:rsid w:val="00765ECB"/>
    <w:rsid w:val="00770B02"/>
    <w:rsid w:val="00777155"/>
    <w:rsid w:val="00783F46"/>
    <w:rsid w:val="0078423A"/>
    <w:rsid w:val="00793719"/>
    <w:rsid w:val="007A0722"/>
    <w:rsid w:val="007A4518"/>
    <w:rsid w:val="007C41E7"/>
    <w:rsid w:val="007E70D0"/>
    <w:rsid w:val="007F5DFA"/>
    <w:rsid w:val="00801DA9"/>
    <w:rsid w:val="0080689C"/>
    <w:rsid w:val="00821C6D"/>
    <w:rsid w:val="0082387E"/>
    <w:rsid w:val="008359BC"/>
    <w:rsid w:val="00846A4E"/>
    <w:rsid w:val="00852B23"/>
    <w:rsid w:val="00860BF0"/>
    <w:rsid w:val="008714B9"/>
    <w:rsid w:val="00877908"/>
    <w:rsid w:val="00893030"/>
    <w:rsid w:val="008A68DC"/>
    <w:rsid w:val="008B0D38"/>
    <w:rsid w:val="008B12C4"/>
    <w:rsid w:val="008C0235"/>
    <w:rsid w:val="008E09F8"/>
    <w:rsid w:val="008E1C0A"/>
    <w:rsid w:val="008E578B"/>
    <w:rsid w:val="0092707C"/>
    <w:rsid w:val="00930A6C"/>
    <w:rsid w:val="00941303"/>
    <w:rsid w:val="00957C62"/>
    <w:rsid w:val="00961C3A"/>
    <w:rsid w:val="00961EEA"/>
    <w:rsid w:val="00970CF4"/>
    <w:rsid w:val="009876D6"/>
    <w:rsid w:val="00993F09"/>
    <w:rsid w:val="0099526A"/>
    <w:rsid w:val="009A2A9D"/>
    <w:rsid w:val="009A6706"/>
    <w:rsid w:val="009B2BC3"/>
    <w:rsid w:val="009C465A"/>
    <w:rsid w:val="009D1086"/>
    <w:rsid w:val="009F0449"/>
    <w:rsid w:val="009F06C0"/>
    <w:rsid w:val="009F18C0"/>
    <w:rsid w:val="009F5A59"/>
    <w:rsid w:val="00A0223E"/>
    <w:rsid w:val="00A04571"/>
    <w:rsid w:val="00A11A48"/>
    <w:rsid w:val="00A25003"/>
    <w:rsid w:val="00A36930"/>
    <w:rsid w:val="00A41086"/>
    <w:rsid w:val="00A41292"/>
    <w:rsid w:val="00A46564"/>
    <w:rsid w:val="00A4706D"/>
    <w:rsid w:val="00A5390D"/>
    <w:rsid w:val="00A56094"/>
    <w:rsid w:val="00A64B76"/>
    <w:rsid w:val="00A74068"/>
    <w:rsid w:val="00A82B4D"/>
    <w:rsid w:val="00AA772D"/>
    <w:rsid w:val="00AB2F19"/>
    <w:rsid w:val="00AB4BB3"/>
    <w:rsid w:val="00AC0599"/>
    <w:rsid w:val="00AC59F9"/>
    <w:rsid w:val="00AD76DC"/>
    <w:rsid w:val="00AE0D41"/>
    <w:rsid w:val="00AE732B"/>
    <w:rsid w:val="00AF6E70"/>
    <w:rsid w:val="00B0067C"/>
    <w:rsid w:val="00B0077C"/>
    <w:rsid w:val="00B11456"/>
    <w:rsid w:val="00B15F2B"/>
    <w:rsid w:val="00B2385F"/>
    <w:rsid w:val="00B259B2"/>
    <w:rsid w:val="00B42BCA"/>
    <w:rsid w:val="00B505F4"/>
    <w:rsid w:val="00B52225"/>
    <w:rsid w:val="00B52BA2"/>
    <w:rsid w:val="00B53D10"/>
    <w:rsid w:val="00B56CD2"/>
    <w:rsid w:val="00B6294F"/>
    <w:rsid w:val="00B629DD"/>
    <w:rsid w:val="00B67173"/>
    <w:rsid w:val="00B7196A"/>
    <w:rsid w:val="00B71A56"/>
    <w:rsid w:val="00B73534"/>
    <w:rsid w:val="00B830BA"/>
    <w:rsid w:val="00B9398A"/>
    <w:rsid w:val="00B9457D"/>
    <w:rsid w:val="00BA140B"/>
    <w:rsid w:val="00BA2ACE"/>
    <w:rsid w:val="00BA76CE"/>
    <w:rsid w:val="00BB08A2"/>
    <w:rsid w:val="00BB12D4"/>
    <w:rsid w:val="00BB3CB5"/>
    <w:rsid w:val="00BB59AC"/>
    <w:rsid w:val="00BB6459"/>
    <w:rsid w:val="00BC204E"/>
    <w:rsid w:val="00BD677C"/>
    <w:rsid w:val="00BE036F"/>
    <w:rsid w:val="00BE222F"/>
    <w:rsid w:val="00BF203C"/>
    <w:rsid w:val="00C022BC"/>
    <w:rsid w:val="00C109E4"/>
    <w:rsid w:val="00C17056"/>
    <w:rsid w:val="00C359F8"/>
    <w:rsid w:val="00C62295"/>
    <w:rsid w:val="00C73518"/>
    <w:rsid w:val="00C806E2"/>
    <w:rsid w:val="00C8180B"/>
    <w:rsid w:val="00C86647"/>
    <w:rsid w:val="00C942C8"/>
    <w:rsid w:val="00C972DC"/>
    <w:rsid w:val="00CA6EA5"/>
    <w:rsid w:val="00CD0ADD"/>
    <w:rsid w:val="00CE3798"/>
    <w:rsid w:val="00CE5BBF"/>
    <w:rsid w:val="00CF6FBA"/>
    <w:rsid w:val="00D15F6E"/>
    <w:rsid w:val="00D215D9"/>
    <w:rsid w:val="00D27B1D"/>
    <w:rsid w:val="00D33F6E"/>
    <w:rsid w:val="00D34AB2"/>
    <w:rsid w:val="00D37070"/>
    <w:rsid w:val="00D420C7"/>
    <w:rsid w:val="00D4363D"/>
    <w:rsid w:val="00D45018"/>
    <w:rsid w:val="00D50C8A"/>
    <w:rsid w:val="00D52504"/>
    <w:rsid w:val="00D57CCA"/>
    <w:rsid w:val="00D63EFD"/>
    <w:rsid w:val="00D94431"/>
    <w:rsid w:val="00D9674D"/>
    <w:rsid w:val="00DA4F45"/>
    <w:rsid w:val="00DB42CD"/>
    <w:rsid w:val="00DB689E"/>
    <w:rsid w:val="00DE0F83"/>
    <w:rsid w:val="00E077E0"/>
    <w:rsid w:val="00E1426E"/>
    <w:rsid w:val="00E20B98"/>
    <w:rsid w:val="00E2588F"/>
    <w:rsid w:val="00E27C06"/>
    <w:rsid w:val="00E464E8"/>
    <w:rsid w:val="00E56467"/>
    <w:rsid w:val="00E67B9F"/>
    <w:rsid w:val="00E85FE1"/>
    <w:rsid w:val="00E9398A"/>
    <w:rsid w:val="00E978E5"/>
    <w:rsid w:val="00EB0C01"/>
    <w:rsid w:val="00EB2D31"/>
    <w:rsid w:val="00EB5A14"/>
    <w:rsid w:val="00EB5FD1"/>
    <w:rsid w:val="00EB7CCE"/>
    <w:rsid w:val="00EC461B"/>
    <w:rsid w:val="00ED1641"/>
    <w:rsid w:val="00ED500C"/>
    <w:rsid w:val="00EE03C3"/>
    <w:rsid w:val="00F0107B"/>
    <w:rsid w:val="00F05B74"/>
    <w:rsid w:val="00F13B4C"/>
    <w:rsid w:val="00F14485"/>
    <w:rsid w:val="00F156F7"/>
    <w:rsid w:val="00F278C5"/>
    <w:rsid w:val="00F451F3"/>
    <w:rsid w:val="00F50976"/>
    <w:rsid w:val="00F51C4B"/>
    <w:rsid w:val="00F56D13"/>
    <w:rsid w:val="00F70A76"/>
    <w:rsid w:val="00F71302"/>
    <w:rsid w:val="00F85495"/>
    <w:rsid w:val="00FA0792"/>
    <w:rsid w:val="00FA4E09"/>
    <w:rsid w:val="00FD135C"/>
    <w:rsid w:val="00FD737E"/>
    <w:rsid w:val="00FE0FB3"/>
    <w:rsid w:val="00FE3221"/>
    <w:rsid w:val="00FF36DC"/>
    <w:rsid w:val="00FF3B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734B6DA"/>
  <w15:chartTrackingRefBased/>
  <w15:docId w15:val="{F8BBD716-47B2-44F7-A23F-EFBA47F44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iPriority="35"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22BC"/>
    <w:pPr>
      <w:spacing w:line="360" w:lineRule="auto"/>
      <w:jc w:val="both"/>
    </w:pPr>
    <w:rPr>
      <w:sz w:val="24"/>
      <w:szCs w:val="18"/>
      <w:lang w:val="en-IE" w:eastAsia="en-IE"/>
    </w:rPr>
  </w:style>
  <w:style w:type="paragraph" w:styleId="Heading1">
    <w:name w:val="heading 1"/>
    <w:basedOn w:val="Normal"/>
    <w:next w:val="Normal"/>
    <w:link w:val="Heading1Char"/>
    <w:qFormat/>
    <w:rsid w:val="00C022BC"/>
    <w:pPr>
      <w:keepNext/>
      <w:spacing w:before="240" w:after="60"/>
      <w:outlineLvl w:val="0"/>
    </w:pPr>
    <w:rPr>
      <w:b/>
      <w:bCs/>
      <w:kern w:val="32"/>
      <w:sz w:val="32"/>
      <w:szCs w:val="32"/>
    </w:rPr>
  </w:style>
  <w:style w:type="paragraph" w:styleId="Heading2">
    <w:name w:val="heading 2"/>
    <w:basedOn w:val="Normal"/>
    <w:next w:val="Normal"/>
    <w:link w:val="Heading2Char"/>
    <w:semiHidden/>
    <w:unhideWhenUsed/>
    <w:qFormat/>
    <w:rsid w:val="00F13B4C"/>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b/>
      <w:szCs w:val="20"/>
      <w:lang w:val="en-GB" w:eastAsia="en-US"/>
    </w:rPr>
  </w:style>
  <w:style w:type="character" w:customStyle="1" w:styleId="Heading1Char">
    <w:name w:val="Heading 1 Char"/>
    <w:link w:val="Heading1"/>
    <w:rsid w:val="00C022BC"/>
    <w:rPr>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character" w:customStyle="1" w:styleId="Heading2Char">
    <w:name w:val="Heading 2 Char"/>
    <w:link w:val="Heading2"/>
    <w:semiHidden/>
    <w:rsid w:val="00F13B4C"/>
    <w:rPr>
      <w:rFonts w:ascii="Calibri Light" w:eastAsia="Times New Roman" w:hAnsi="Calibri Light" w:cs="Times New Roman"/>
      <w:b/>
      <w:bCs/>
      <w:i/>
      <w:iCs/>
      <w:sz w:val="28"/>
      <w:szCs w:val="28"/>
      <w:lang w:val="en-IE" w:eastAsia="en-IE"/>
    </w:rPr>
  </w:style>
  <w:style w:type="paragraph" w:styleId="FootnoteText">
    <w:name w:val="footnote text"/>
    <w:basedOn w:val="Normal"/>
    <w:link w:val="FootnoteTextChar"/>
    <w:uiPriority w:val="99"/>
    <w:unhideWhenUsed/>
    <w:rsid w:val="00F13B4C"/>
    <w:rPr>
      <w:rFonts w:ascii="Calibri" w:eastAsia="Calibri" w:hAnsi="Calibri" w:cs="Arial"/>
      <w:sz w:val="20"/>
      <w:szCs w:val="20"/>
      <w:lang w:val="en-US" w:eastAsia="en-US"/>
    </w:rPr>
  </w:style>
  <w:style w:type="character" w:customStyle="1" w:styleId="FootnoteTextChar">
    <w:name w:val="Footnote Text Char"/>
    <w:link w:val="FootnoteText"/>
    <w:uiPriority w:val="99"/>
    <w:rsid w:val="00F13B4C"/>
    <w:rPr>
      <w:rFonts w:ascii="Calibri" w:eastAsia="Calibri" w:hAnsi="Calibri" w:cs="Arial"/>
    </w:rPr>
  </w:style>
  <w:style w:type="character" w:styleId="FootnoteReference">
    <w:name w:val="footnote reference"/>
    <w:uiPriority w:val="99"/>
    <w:unhideWhenUsed/>
    <w:rsid w:val="00F13B4C"/>
    <w:rPr>
      <w:vertAlign w:val="superscript"/>
    </w:rPr>
  </w:style>
  <w:style w:type="paragraph" w:styleId="Caption">
    <w:name w:val="caption"/>
    <w:basedOn w:val="Normal"/>
    <w:next w:val="Normal"/>
    <w:uiPriority w:val="35"/>
    <w:unhideWhenUsed/>
    <w:qFormat/>
    <w:rsid w:val="00F13B4C"/>
    <w:pPr>
      <w:keepNext/>
      <w:spacing w:before="120" w:after="120"/>
      <w:jc w:val="center"/>
    </w:pPr>
    <w:rPr>
      <w:rFonts w:eastAsia="Calibri"/>
      <w:b/>
      <w:bCs/>
      <w:sz w:val="22"/>
      <w:szCs w:val="22"/>
      <w:lang w:val="en-US" w:eastAsia="en-US"/>
    </w:rPr>
  </w:style>
  <w:style w:type="paragraph" w:styleId="NormalWeb">
    <w:name w:val="Normal (Web)"/>
    <w:basedOn w:val="Normal"/>
    <w:rsid w:val="00A4706D"/>
    <w:rPr>
      <w:szCs w:val="24"/>
    </w:rPr>
  </w:style>
  <w:style w:type="paragraph" w:customStyle="1" w:styleId="Heading20">
    <w:name w:val="Heading2"/>
    <w:basedOn w:val="Heading1"/>
    <w:link w:val="Heading2Char0"/>
    <w:qFormat/>
    <w:rsid w:val="00C022BC"/>
    <w:pPr>
      <w:jc w:val="left"/>
    </w:pPr>
    <w:rPr>
      <w:rFonts w:eastAsia="Roboto"/>
      <w:sz w:val="28"/>
    </w:rPr>
  </w:style>
  <w:style w:type="character" w:customStyle="1" w:styleId="Heading2Char0">
    <w:name w:val="Heading2 Char"/>
    <w:basedOn w:val="Heading1Char"/>
    <w:link w:val="Heading20"/>
    <w:rsid w:val="00C022BC"/>
    <w:rPr>
      <w:rFonts w:eastAsia="Roboto"/>
      <w:b/>
      <w:bCs/>
      <w:kern w:val="32"/>
      <w:sz w:val="28"/>
      <w:szCs w:val="32"/>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ur-lex.europa.eu/eli/reg/2016/679/?utm_source=chatgpt.com" TargetMode="External"/><Relationship Id="rId18" Type="http://schemas.openxmlformats.org/officeDocument/2006/relationships/hyperlink" Target="http://www.irishstatutebook.ie/eli/2011/si/336/made" TargetMode="External"/><Relationship Id="rId26" Type="http://schemas.openxmlformats.org/officeDocument/2006/relationships/hyperlink" Target="https://ethics.acm.org/code-of-ethics/" TargetMode="External"/><Relationship Id="rId3" Type="http://schemas.openxmlformats.org/officeDocument/2006/relationships/customXml" Target="../customXml/item3.xml"/><Relationship Id="rId21" Type="http://schemas.openxmlformats.org/officeDocument/2006/relationships/hyperlink" Target="https://eur-lex.europa.eu/eli/reg/2016/679/oj" TargetMode="External"/><Relationship Id="rId7" Type="http://schemas.openxmlformats.org/officeDocument/2006/relationships/webSettings" Target="webSettings.xml"/><Relationship Id="rId12" Type="http://schemas.openxmlformats.org/officeDocument/2006/relationships/hyperlink" Target="https://www.irishstatutebook.ie/eli/2011/si/336/" TargetMode="External"/><Relationship Id="rId17" Type="http://schemas.openxmlformats.org/officeDocument/2006/relationships/hyperlink" Target="https://www.dataprotection.ie/en/dpc-guidance/case-studies-annual-report" TargetMode="External"/><Relationship Id="rId25" Type="http://schemas.openxmlformats.org/officeDocument/2006/relationships/hyperlink" Target="https://www.irishstatutebook.ie/eli/2011/si/336/" TargetMode="External"/><Relationship Id="rId2" Type="http://schemas.openxmlformats.org/officeDocument/2006/relationships/customXml" Target="../customXml/item2.xml"/><Relationship Id="rId16" Type="http://schemas.openxmlformats.org/officeDocument/2006/relationships/hyperlink" Target="https://sdgs.un.org/goals/goal16" TargetMode="External"/><Relationship Id="rId20" Type="http://schemas.openxmlformats.org/officeDocument/2006/relationships/hyperlink" Target="https://eur-lex.europa.eu/eli/reg/2016/679/oj" TargetMode="External"/><Relationship Id="rId29" Type="http://schemas.openxmlformats.org/officeDocument/2006/relationships/hyperlink" Target="https://www.exabeam.com/explainers/gdpr-compliance/gdpr-article-5-key-principles-and-6-compliance-best-practic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cirl.ie/useofaiinteachingandlearning/studentguide" TargetMode="External"/><Relationship Id="rId24" Type="http://schemas.openxmlformats.org/officeDocument/2006/relationships/hyperlink" Target="https://gdpr-info.eu/art-25-gdpr/"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sciencedirect.com/science/article/abs/pii/S02673649203001575" TargetMode="External"/><Relationship Id="rId23" Type="http://schemas.openxmlformats.org/officeDocument/2006/relationships/hyperlink" Target="https://gdpr-info.eu/art-15-gdpr/" TargetMode="External"/><Relationship Id="rId28" Type="http://schemas.openxmlformats.org/officeDocument/2006/relationships/hyperlink" Target="https://gdpr-info.eu/art-17-gdpr/" TargetMode="External"/><Relationship Id="rId10" Type="http://schemas.openxmlformats.org/officeDocument/2006/relationships/image" Target="media/image1.jpeg"/><Relationship Id="rId19" Type="http://schemas.openxmlformats.org/officeDocument/2006/relationships/hyperlink" Target="https://eur-lex.europa.eu/eli/reg/2016/679/oj"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royalsocietypublishing.org/doi/10.1098/rsta.2016.0360" TargetMode="External"/><Relationship Id="rId22" Type="http://schemas.openxmlformats.org/officeDocument/2006/relationships/hyperlink" Target="https://www.exabeam.com/explainers/gdpr-compliance/gdpr-article-5-key-principles-and-6-compliance-best-practices/" TargetMode="External"/><Relationship Id="rId27" Type="http://schemas.openxmlformats.org/officeDocument/2006/relationships/hyperlink" Target="https://gdpr-info.eu/art-83-gdpr/" TargetMode="External"/><Relationship Id="rId30" Type="http://schemas.openxmlformats.org/officeDocument/2006/relationships/hyperlink" Target="https://sdgs.un.org/2030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09E5EBF977394D926FD50F1F28090E" ma:contentTypeVersion="8" ma:contentTypeDescription="Create a new document." ma:contentTypeScope="" ma:versionID="5f47b485a837666779b77ef063a485bc">
  <xsd:schema xmlns:xsd="http://www.w3.org/2001/XMLSchema" xmlns:xs="http://www.w3.org/2001/XMLSchema" xmlns:p="http://schemas.microsoft.com/office/2006/metadata/properties" xmlns:ns3="4d421c5c-29e1-43b5-bbfa-45595c37891d" targetNamespace="http://schemas.microsoft.com/office/2006/metadata/properties" ma:root="true" ma:fieldsID="406362bcd5f856baadaa96fd950ab522" ns3:_="">
    <xsd:import namespace="4d421c5c-29e1-43b5-bbfa-45595c3789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21c5c-29e1-43b5-bbfa-45595c3789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2.xml><?xml version="1.0" encoding="utf-8"?>
<ds:datastoreItem xmlns:ds="http://schemas.openxmlformats.org/officeDocument/2006/customXml" ds:itemID="{85614D37-CD62-4F17-84D7-79958F364C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21c5c-29e1-43b5-bbfa-45595c3789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186EFF-85C9-4CCF-9B51-4F296F4E248A}">
  <ds:schemaRefs>
    <ds:schemaRef ds:uri="http://purl.org/dc/elements/1.1/"/>
    <ds:schemaRef ds:uri="http://purl.org/dc/dcmitype/"/>
    <ds:schemaRef ds:uri="http://schemas.microsoft.com/office/2006/documentManagement/types"/>
    <ds:schemaRef ds:uri="http://schemas.openxmlformats.org/package/2006/metadata/core-properties"/>
    <ds:schemaRef ds:uri="http://purl.org/dc/terms/"/>
    <ds:schemaRef ds:uri="http://schemas.microsoft.com/office/2006/metadata/properties"/>
    <ds:schemaRef ds:uri="http://www.w3.org/XML/1998/namespace"/>
    <ds:schemaRef ds:uri="http://schemas.microsoft.com/office/infopath/2007/PartnerControls"/>
    <ds:schemaRef ds:uri="4d421c5c-29e1-43b5-bbfa-45595c37891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6301</Words>
  <Characters>35917</Characters>
  <Application>Microsoft Office Word</Application>
  <DocSecurity>4</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42134</CharactersWithSpaces>
  <SharedDoc>false</SharedDoc>
  <HLinks>
    <vt:vector size="6" baseType="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TRISHA REDDY</cp:lastModifiedBy>
  <cp:revision>2</cp:revision>
  <cp:lastPrinted>2025-10-26T00:13:00Z</cp:lastPrinted>
  <dcterms:created xsi:type="dcterms:W3CDTF">2025-10-26T07:23:00Z</dcterms:created>
  <dcterms:modified xsi:type="dcterms:W3CDTF">2025-10-26T07:23:00Z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0x0101008709E5EBF977394D926FD50F1F28090E</vt:lpwstr>
  </property>
  <property fmtid="{D5CDD505-2E9C-101B-9397-08002B2CF9AE}" pid="4" name="GrammarlyDocumentId">
    <vt:lpwstr>f4728b501f31fdb8cb9ac88b76e8e0d08b9bc39e2032a53760e3293d8606138f</vt:lpwstr>
  </property>
</Properties>
</file>