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12F" w:rsidRPr="0004012F" w:rsidRDefault="0004012F" w:rsidP="0004012F">
      <w:pPr>
        <w:shd w:val="clear" w:color="auto" w:fill="FFFFFF"/>
        <w:spacing w:before="100" w:beforeAutospacing="1" w:after="100" w:afterAutospacing="1" w:line="240" w:lineRule="auto"/>
        <w:outlineLvl w:val="2"/>
        <w:rPr>
          <w:rFonts w:ascii="Times New Roman" w:eastAsia="Times New Roman" w:hAnsi="Times New Roman" w:cs="Times New Roman"/>
          <w:b/>
          <w:bCs/>
          <w:color w:val="242424"/>
          <w:sz w:val="32"/>
          <w:szCs w:val="32"/>
          <w:u w:val="single"/>
        </w:rPr>
      </w:pPr>
      <w:r w:rsidRPr="0004012F">
        <w:rPr>
          <w:rFonts w:ascii="Times New Roman" w:eastAsia="Times New Roman" w:hAnsi="Times New Roman" w:cs="Times New Roman"/>
          <w:b/>
          <w:bCs/>
          <w:color w:val="242424"/>
          <w:sz w:val="32"/>
          <w:szCs w:val="32"/>
          <w:u w:val="single"/>
        </w:rPr>
        <w:t xml:space="preserve">WEEK </w:t>
      </w:r>
      <w:proofErr w:type="gramStart"/>
      <w:r w:rsidRPr="0004012F">
        <w:rPr>
          <w:rFonts w:ascii="Times New Roman" w:eastAsia="Times New Roman" w:hAnsi="Times New Roman" w:cs="Times New Roman"/>
          <w:b/>
          <w:bCs/>
          <w:color w:val="242424"/>
          <w:sz w:val="32"/>
          <w:szCs w:val="32"/>
          <w:u w:val="single"/>
        </w:rPr>
        <w:t>6:R</w:t>
      </w:r>
      <w:bookmarkStart w:id="0" w:name="_GoBack"/>
      <w:bookmarkEnd w:id="0"/>
      <w:r w:rsidRPr="0004012F">
        <w:rPr>
          <w:rFonts w:ascii="Times New Roman" w:eastAsia="Times New Roman" w:hAnsi="Times New Roman" w:cs="Times New Roman"/>
          <w:b/>
          <w:bCs/>
          <w:color w:val="242424"/>
          <w:sz w:val="32"/>
          <w:szCs w:val="32"/>
          <w:u w:val="single"/>
        </w:rPr>
        <w:t>EPORT</w:t>
      </w:r>
      <w:proofErr w:type="gramEnd"/>
    </w:p>
    <w:p w:rsidR="0004012F" w:rsidRPr="0004012F" w:rsidRDefault="0004012F" w:rsidP="0004012F">
      <w:pPr>
        <w:shd w:val="clear" w:color="auto" w:fill="FFFFFF"/>
        <w:spacing w:before="100" w:beforeAutospacing="1" w:after="100" w:afterAutospacing="1" w:line="240" w:lineRule="auto"/>
        <w:outlineLvl w:val="2"/>
        <w:rPr>
          <w:rFonts w:ascii="Times New Roman" w:eastAsia="Times New Roman" w:hAnsi="Times New Roman" w:cs="Times New Roman"/>
          <w:b/>
          <w:bCs/>
          <w:color w:val="242424"/>
          <w:sz w:val="27"/>
          <w:szCs w:val="27"/>
        </w:rPr>
      </w:pPr>
      <w:r w:rsidRPr="0004012F">
        <w:rPr>
          <w:rFonts w:ascii="Times New Roman" w:eastAsia="Times New Roman" w:hAnsi="Times New Roman" w:cs="Times New Roman"/>
          <w:b/>
          <w:bCs/>
          <w:color w:val="242424"/>
          <w:sz w:val="27"/>
          <w:szCs w:val="27"/>
        </w:rPr>
        <w:t>MODEL TUNING AND VALIDATION</w:t>
      </w:r>
    </w:p>
    <w:p w:rsidR="0004012F" w:rsidRPr="0004012F" w:rsidRDefault="0004012F" w:rsidP="0004012F">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04012F">
        <w:rPr>
          <w:rFonts w:ascii="Times New Roman" w:eastAsia="Times New Roman" w:hAnsi="Times New Roman" w:cs="Times New Roman"/>
          <w:color w:val="242424"/>
          <w:sz w:val="24"/>
          <w:szCs w:val="24"/>
        </w:rPr>
        <w:t>Logistic Regression was first developed as the baseline model to establish a benchmark for diabetes prediction. The model achieved an accuracy of </w:t>
      </w:r>
      <w:r w:rsidRPr="0004012F">
        <w:rPr>
          <w:rFonts w:ascii="Times New Roman" w:eastAsia="Times New Roman" w:hAnsi="Times New Roman" w:cs="Times New Roman"/>
          <w:bCs/>
          <w:color w:val="242424"/>
          <w:sz w:val="24"/>
          <w:szCs w:val="24"/>
        </w:rPr>
        <w:t>73.38%</w:t>
      </w:r>
      <w:r w:rsidRPr="0004012F">
        <w:rPr>
          <w:rFonts w:ascii="Times New Roman" w:eastAsia="Times New Roman" w:hAnsi="Times New Roman" w:cs="Times New Roman"/>
          <w:color w:val="242424"/>
          <w:sz w:val="24"/>
          <w:szCs w:val="24"/>
        </w:rPr>
        <w:t> and a ROC-AUC score of </w:t>
      </w:r>
      <w:r w:rsidRPr="0004012F">
        <w:rPr>
          <w:rFonts w:ascii="Times New Roman" w:eastAsia="Times New Roman" w:hAnsi="Times New Roman" w:cs="Times New Roman"/>
          <w:bCs/>
          <w:color w:val="242424"/>
          <w:sz w:val="24"/>
          <w:szCs w:val="24"/>
        </w:rPr>
        <w:t>0.7269</w:t>
      </w:r>
      <w:r w:rsidRPr="0004012F">
        <w:rPr>
          <w:rFonts w:ascii="Times New Roman" w:eastAsia="Times New Roman" w:hAnsi="Times New Roman" w:cs="Times New Roman"/>
          <w:color w:val="242424"/>
          <w:sz w:val="24"/>
          <w:szCs w:val="24"/>
        </w:rPr>
        <w:t>, demonstrating a reasonable ability to distinguish between diabetic and non-diabetic patients. The model achieved a relatively high recall of </w:t>
      </w:r>
      <w:r w:rsidRPr="0004012F">
        <w:rPr>
          <w:rFonts w:ascii="Times New Roman" w:eastAsia="Times New Roman" w:hAnsi="Times New Roman" w:cs="Times New Roman"/>
          <w:bCs/>
          <w:color w:val="242424"/>
          <w:sz w:val="24"/>
          <w:szCs w:val="24"/>
        </w:rPr>
        <w:t>70.37%</w:t>
      </w:r>
      <w:r w:rsidRPr="0004012F">
        <w:rPr>
          <w:rFonts w:ascii="Times New Roman" w:eastAsia="Times New Roman" w:hAnsi="Times New Roman" w:cs="Times New Roman"/>
          <w:color w:val="242424"/>
          <w:sz w:val="24"/>
          <w:szCs w:val="24"/>
        </w:rPr>
        <w:t>, indicating that it was able to identify a large proportion of actual diabetic cases, although with lower precision.</w:t>
      </w:r>
    </w:p>
    <w:p w:rsidR="0004012F" w:rsidRPr="0004012F" w:rsidRDefault="0004012F" w:rsidP="0004012F">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04012F">
        <w:rPr>
          <w:rFonts w:ascii="Times New Roman" w:eastAsia="Times New Roman" w:hAnsi="Times New Roman" w:cs="Times New Roman"/>
          <w:color w:val="242424"/>
          <w:sz w:val="24"/>
          <w:szCs w:val="24"/>
        </w:rPr>
        <w:t>A Random Forest model was then trained using default parameters and showed improved performance compared to the Logistic Regression baseline. It achieved the highest accuracy (</w:t>
      </w:r>
      <w:r w:rsidRPr="0004012F">
        <w:rPr>
          <w:rFonts w:ascii="Times New Roman" w:eastAsia="Times New Roman" w:hAnsi="Times New Roman" w:cs="Times New Roman"/>
          <w:bCs/>
          <w:color w:val="242424"/>
          <w:sz w:val="24"/>
          <w:szCs w:val="24"/>
        </w:rPr>
        <w:t>77.92%</w:t>
      </w:r>
      <w:r w:rsidRPr="0004012F">
        <w:rPr>
          <w:rFonts w:ascii="Times New Roman" w:eastAsia="Times New Roman" w:hAnsi="Times New Roman" w:cs="Times New Roman"/>
          <w:color w:val="242424"/>
          <w:sz w:val="24"/>
          <w:szCs w:val="24"/>
        </w:rPr>
        <w:t>), precision (</w:t>
      </w:r>
      <w:r w:rsidRPr="0004012F">
        <w:rPr>
          <w:rFonts w:ascii="Times New Roman" w:eastAsia="Times New Roman" w:hAnsi="Times New Roman" w:cs="Times New Roman"/>
          <w:bCs/>
          <w:color w:val="242424"/>
          <w:sz w:val="24"/>
          <w:szCs w:val="24"/>
        </w:rPr>
        <w:t>72.73%</w:t>
      </w:r>
      <w:r w:rsidRPr="0004012F">
        <w:rPr>
          <w:rFonts w:ascii="Times New Roman" w:eastAsia="Times New Roman" w:hAnsi="Times New Roman" w:cs="Times New Roman"/>
          <w:color w:val="242424"/>
          <w:sz w:val="24"/>
          <w:szCs w:val="24"/>
        </w:rPr>
        <w:t>), F1-score (</w:t>
      </w:r>
      <w:r w:rsidRPr="0004012F">
        <w:rPr>
          <w:rFonts w:ascii="Times New Roman" w:eastAsia="Times New Roman" w:hAnsi="Times New Roman" w:cs="Times New Roman"/>
          <w:bCs/>
          <w:color w:val="242424"/>
          <w:sz w:val="24"/>
          <w:szCs w:val="24"/>
        </w:rPr>
        <w:t>65.31%</w:t>
      </w:r>
      <w:r w:rsidRPr="0004012F">
        <w:rPr>
          <w:rFonts w:ascii="Times New Roman" w:eastAsia="Times New Roman" w:hAnsi="Times New Roman" w:cs="Times New Roman"/>
          <w:color w:val="242424"/>
          <w:sz w:val="24"/>
          <w:szCs w:val="24"/>
        </w:rPr>
        <w:t>), and ROC-AUC score (</w:t>
      </w:r>
      <w:r w:rsidRPr="0004012F">
        <w:rPr>
          <w:rFonts w:ascii="Times New Roman" w:eastAsia="Times New Roman" w:hAnsi="Times New Roman" w:cs="Times New Roman"/>
          <w:bCs/>
          <w:color w:val="242424"/>
          <w:sz w:val="24"/>
          <w:szCs w:val="24"/>
        </w:rPr>
        <w:t>73.63%</w:t>
      </w:r>
      <w:r w:rsidRPr="0004012F">
        <w:rPr>
          <w:rFonts w:ascii="Times New Roman" w:eastAsia="Times New Roman" w:hAnsi="Times New Roman" w:cs="Times New Roman"/>
          <w:color w:val="242424"/>
          <w:sz w:val="24"/>
          <w:szCs w:val="24"/>
        </w:rPr>
        <w:t>) among the three models. This suggests that the ensemble approach of combining multiple decision trees helped capture more complex patterns within the dataset.</w:t>
      </w:r>
    </w:p>
    <w:p w:rsidR="0004012F" w:rsidRPr="0004012F" w:rsidRDefault="0004012F" w:rsidP="0004012F">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proofErr w:type="spellStart"/>
      <w:r w:rsidRPr="0004012F">
        <w:rPr>
          <w:rFonts w:ascii="Times New Roman" w:eastAsia="Times New Roman" w:hAnsi="Times New Roman" w:cs="Times New Roman"/>
          <w:color w:val="242424"/>
          <w:sz w:val="24"/>
          <w:szCs w:val="24"/>
        </w:rPr>
        <w:t>Hyperparameter</w:t>
      </w:r>
      <w:proofErr w:type="spellEnd"/>
      <w:r w:rsidRPr="0004012F">
        <w:rPr>
          <w:rFonts w:ascii="Times New Roman" w:eastAsia="Times New Roman" w:hAnsi="Times New Roman" w:cs="Times New Roman"/>
          <w:color w:val="242424"/>
          <w:sz w:val="24"/>
          <w:szCs w:val="24"/>
        </w:rPr>
        <w:t xml:space="preserve"> tuning was performed on the Random Forest model using Grid Search with 5-fold cross-validation to identify the optimal combination of parameters. However, the tuned Random Forest model did not outperform the default Random Forest model on the independent test set. The tuned model achieved an accuracy of </w:t>
      </w:r>
      <w:r w:rsidRPr="0004012F">
        <w:rPr>
          <w:rFonts w:ascii="Times New Roman" w:eastAsia="Times New Roman" w:hAnsi="Times New Roman" w:cs="Times New Roman"/>
          <w:bCs/>
          <w:color w:val="242424"/>
          <w:sz w:val="24"/>
          <w:szCs w:val="24"/>
        </w:rPr>
        <w:t>74.03%</w:t>
      </w:r>
      <w:r w:rsidRPr="0004012F">
        <w:rPr>
          <w:rFonts w:ascii="Times New Roman" w:eastAsia="Times New Roman" w:hAnsi="Times New Roman" w:cs="Times New Roman"/>
          <w:color w:val="242424"/>
          <w:sz w:val="24"/>
          <w:szCs w:val="24"/>
        </w:rPr>
        <w:t>, with lower recall, F1-score, and ROC-AUC. This indicates that the original Random Forest configuration generalized better to unseen data.</w:t>
      </w:r>
    </w:p>
    <w:p w:rsidR="0004012F" w:rsidRDefault="0004012F" w:rsidP="0004012F">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04012F">
        <w:rPr>
          <w:rFonts w:ascii="Times New Roman" w:eastAsia="Times New Roman" w:hAnsi="Times New Roman" w:cs="Times New Roman"/>
          <w:color w:val="242424"/>
          <w:sz w:val="24"/>
          <w:szCs w:val="24"/>
        </w:rPr>
        <w:t>The results highlight the importance of model validation and the bias-variance tradeoff. While increasing model complexity and optimizing parameters can improve performance, it does not always guarantee better generalization. The default Random Forest model was selected as the best-performing model for this dataset because it provided the strongest balance between accuracy, precision, F1-score, and ROC-AUC while maintaining reliable predictive performance on unseen data</w:t>
      </w:r>
    </w:p>
    <w:p w:rsidR="0004012F" w:rsidRDefault="0004012F" w:rsidP="0004012F">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p>
    <w:p w:rsidR="0004012F" w:rsidRDefault="0004012F" w:rsidP="0004012F">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p>
    <w:p w:rsidR="0004012F" w:rsidRPr="0004012F" w:rsidRDefault="0004012F" w:rsidP="0004012F">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Pr>
          <w:noProof/>
        </w:rPr>
        <w:lastRenderedPageBreak/>
        <w:drawing>
          <wp:inline distT="0" distB="0" distL="0" distR="0" wp14:anchorId="477548AB" wp14:editId="6721DB1E">
            <wp:extent cx="5943600" cy="1134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134110"/>
                    </a:xfrm>
                    <a:prstGeom prst="rect">
                      <a:avLst/>
                    </a:prstGeom>
                  </pic:spPr>
                </pic:pic>
              </a:graphicData>
            </a:graphic>
          </wp:inline>
        </w:drawing>
      </w:r>
    </w:p>
    <w:p w:rsidR="00D27F89" w:rsidRPr="0004012F" w:rsidRDefault="00D27F89" w:rsidP="0004012F">
      <w:pPr>
        <w:spacing w:line="360" w:lineRule="auto"/>
        <w:rPr>
          <w:rFonts w:ascii="Times New Roman" w:hAnsi="Times New Roman" w:cs="Times New Roman"/>
          <w:sz w:val="24"/>
          <w:szCs w:val="24"/>
        </w:rPr>
      </w:pPr>
    </w:p>
    <w:sectPr w:rsidR="00D27F89" w:rsidRPr="000401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12F"/>
    <w:rsid w:val="0004012F"/>
    <w:rsid w:val="004A2DBA"/>
    <w:rsid w:val="00AF1A05"/>
    <w:rsid w:val="00D27F89"/>
    <w:rsid w:val="00F54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D5C6"/>
  <w15:chartTrackingRefBased/>
  <w15:docId w15:val="{D4508B94-88D8-4577-86F0-70142CC6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401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01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01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433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Trishally Chipunza</dc:creator>
  <cp:keywords/>
  <dc:description/>
  <cp:lastModifiedBy>Trishally Chipunza</cp:lastModifiedBy>
  <cp:revision>1</cp:revision>
  <dcterms:created xsi:type="dcterms:W3CDTF">2026-07-27T07:38:00Z</dcterms:created>
  <dcterms:modified xsi:type="dcterms:W3CDTF">2026-07-27T07:45:00Z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28646e70-f3fc-472a-87ef-02b0a5352f3f</vt:lpwstr>
  </property>
</Properties>
</file>