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TableSafe AI Evidence Brief</w:t>
      </w:r>
    </w:p>
    <w:p>
      <w:r>
        <w:t>Experiment ID: EXP-006-LIVE</w:t>
      </w:r>
    </w:p>
    <w:p>
      <w:r>
        <w:t>Generated Date: 2026-06-01</w:t>
      </w:r>
    </w:p>
    <w:p>
      <w:pPr>
        <w:pStyle w:val="Heading1"/>
      </w:pPr>
      <w:r>
        <w:t>Event Summary</w:t>
      </w:r>
    </w:p>
    <w:p>
      <w:r>
        <w:t>Event: Moringa Leaf Powder Salmonella Outbreak</w:t>
      </w:r>
    </w:p>
    <w:p>
      <w:r>
        <w:t>Product: Live it Up Super Greens / Moringa-based dietary supplements</w:t>
      </w:r>
    </w:p>
    <w:p>
      <w:r>
        <w:t>Pathogen: Salmonella Typhimurium + Salmonella Newport</w:t>
      </w:r>
    </w:p>
    <w:p>
      <w:pPr>
        <w:pStyle w:val="Heading1"/>
      </w:pPr>
      <w:r>
        <w:t>Alert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Official Recall Date</w:t>
            </w:r>
          </w:p>
        </w:tc>
        <w:tc>
          <w:tcPr>
            <w:tcW w:type="dxa" w:w="4320"/>
          </w:tcPr>
          <w:p>
            <w:r>
              <w:t>2026-01-14</w:t>
            </w:r>
          </w:p>
        </w:tc>
      </w:tr>
      <w:tr>
        <w:tc>
          <w:tcPr>
            <w:tcW w:type="dxa" w:w="4320"/>
          </w:tcPr>
          <w:p>
            <w:r>
              <w:t>TableSafe AI Alert Date</w:t>
            </w:r>
          </w:p>
        </w:tc>
        <w:tc>
          <w:tcPr>
            <w:tcW w:type="dxa" w:w="4320"/>
          </w:tcPr>
          <w:p>
            <w:r>
              <w:t>2025-12-15</w:t>
            </w:r>
          </w:p>
        </w:tc>
      </w:tr>
      <w:tr>
        <w:tc>
          <w:tcPr>
            <w:tcW w:type="dxa" w:w="4320"/>
          </w:tcPr>
          <w:p>
            <w:r>
              <w:t>Early Warning Lead Time</w:t>
            </w:r>
          </w:p>
        </w:tc>
        <w:tc>
          <w:tcPr>
            <w:tcW w:type="dxa" w:w="4320"/>
          </w:tcPr>
          <w:p>
            <w:r>
              <w:t>30 days</w:t>
            </w:r>
          </w:p>
        </w:tc>
      </w:tr>
      <w:tr>
        <w:tc>
          <w:tcPr>
            <w:tcW w:type="dxa" w:w="4320"/>
          </w:tcPr>
          <w:p>
            <w:r>
              <w:t>Result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Composite Risk at Alert</w:t>
            </w:r>
          </w:p>
        </w:tc>
        <w:tc>
          <w:tcPr>
            <w:tcW w:type="dxa" w:w="4320"/>
          </w:tcPr>
          <w:p>
            <w:r>
              <w:t>0.7909</w:t>
            </w:r>
          </w:p>
        </w:tc>
      </w:tr>
      <w:tr>
        <w:tc>
          <w:tcPr>
            <w:tcW w:type="dxa" w:w="4320"/>
          </w:tcPr>
          <w:p>
            <w:r>
              <w:t>Peak Composite Risk</w:t>
            </w:r>
          </w:p>
        </w:tc>
        <w:tc>
          <w:tcPr>
            <w:tcW w:type="dxa" w:w="4320"/>
          </w:tcPr>
          <w:p>
            <w:r>
              <w:t>0.9415</w:t>
            </w:r>
          </w:p>
        </w:tc>
      </w:tr>
      <w:tr>
        <w:tc>
          <w:tcPr>
            <w:tcW w:type="dxa" w:w="4320"/>
          </w:tcPr>
          <w:p>
            <w:r>
              <w:t>F1 Score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Signal Sources</w:t>
      </w:r>
    </w:p>
    <w:p>
      <w:r>
        <w:t>The alert was generated from public weak-signal sources including Google Trends, Reddit discussions, CDC case indicators, FDA outbreak documentation, and OpenFDA regulatory evidence.</w:t>
      </w:r>
    </w:p>
    <w:p>
      <w:pPr>
        <w:pStyle w:val="Heading1"/>
      </w:pPr>
      <w:r>
        <w:t>Key Finding</w:t>
      </w:r>
    </w:p>
    <w:p>
      <w:r>
        <w:t>TableSafe AI generated an alert 30 days before the official FDA recall date. This exceeded the experiment success threshold of 14 days.</w:t>
      </w:r>
    </w:p>
    <w:p>
      <w:pPr>
        <w:pStyle w:val="Heading1"/>
      </w:pPr>
      <w:r>
        <w:t>Interpretation</w:t>
      </w:r>
    </w:p>
    <w:p>
      <w:r>
        <w:t>EXP-006 supports the hypothesis that public weak-signal fusion can provide early-warning indicators for contamination risk before formal regulatory action.</w:t>
      </w:r>
    </w:p>
    <w:p>
      <w:pPr>
        <w:pStyle w:val="Heading1"/>
      </w:pPr>
      <w:r>
        <w:t>Recommended Action</w:t>
      </w:r>
    </w:p>
    <w:p>
      <w:r>
        <w:t>Flag moringa-based supplement products for investigation and continue monitoring related consumer search behavior, illness discussions, and regulatory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