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Times New Roman" w:hAnsi="Times New Roman" w:eastAsia="宋体"/>
          <w:b w:val="0"/>
          <w:sz w:val="21"/>
        </w:rPr>
      </w:r>
    </w:p>
    <w:p>
      <w:pPr>
        <w:jc w:val="center"/>
      </w:pPr>
      <w:r>
        <w:rPr>
          <w:rFonts w:ascii="Times New Roman" w:hAnsi="Times New Roman" w:eastAsia="黑体"/>
          <w:b w:val="0"/>
          <w:sz w:val="32"/>
        </w:rPr>
        <w:t>第一章 深度学习实验报告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1"/>
        </w:rPr>
      </w:r>
    </w:p>
    <w:p>
      <w:pPr>
        <w:ind w:left="0" w:leftChars="0" w:firstLine="0" w:firstLineChars="0" w:hanging="0" w:hangingChars="0"/>
        <w:outlineLvl w:val="2"/>
      </w:pPr>
      <w:r>
        <w:rPr>
          <w:rFonts w:ascii="Times New Roman" w:hAnsi="Times New Roman" w:eastAsia="黑体"/>
          <w:b w:val="0"/>
          <w:sz w:val="28"/>
        </w:rPr>
        <w:t>1.1 研究背景</w:t>
      </w:r>
    </w:p>
    <w:p>
      <w:pPr>
        <w:spacing w:line="312" w:lineRule="auto" w:before="0" w:after="0"/>
        <w:ind w:firstLineChars="200"/>
      </w:pPr>
      <w:r>
        <w:rPr>
          <w:rFonts w:ascii="Times New Roman" w:hAnsi="Times New Roman" w:eastAsia="宋体"/>
          <w:b w:val="0"/>
          <w:sz w:val="21"/>
        </w:rPr>
        <w:t>近年来，深度学习技术在计算机视觉领域取得了突破性进展。卷积神经网络（CNN）作为核心架构之一，在图像分类、目标检测等任务中表现出色。</w:t>
      </w:r>
    </w:p>
    <w:p>
      <w:pPr>
        <w:ind w:left="0" w:leftChars="0" w:firstLine="0" w:firstLineChars="0" w:hanging="0" w:hangingChars="0"/>
        <w:outlineLvl w:val="2"/>
      </w:pPr>
      <w:r>
        <w:rPr>
          <w:rFonts w:ascii="Times New Roman" w:hAnsi="Times New Roman" w:eastAsia="黑体"/>
          <w:b w:val="0"/>
          <w:sz w:val="28"/>
        </w:rPr>
        <w:t>1.2 实验方法</w:t>
      </w:r>
    </w:p>
    <w:p>
      <w:pPr>
        <w:spacing w:line="312" w:lineRule="auto" w:before="0" w:after="0"/>
        <w:ind w:firstLineChars="200"/>
      </w:pPr>
      <w:r>
        <w:rPr>
          <w:rFonts w:ascii="Times New Roman" w:hAnsi="Times New Roman" w:eastAsia="宋体"/>
          <w:b w:val="0"/>
          <w:sz w:val="21"/>
        </w:rPr>
        <w:t>实验采用 CIFAR-10 数据集，随机选取每类 100 张图片作为训练集。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1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221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f5g7l0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21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18"/>
        </w:rPr>
        <w:t>图1 python-logo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1"/>
        </w:rPr>
      </w:r>
    </w:p>
    <w:p>
      <w:pPr>
        <w:ind w:firstLineChars="200"/>
        <w:outlineLvl w:val="3"/>
      </w:pPr>
      <w:r>
        <w:rPr>
          <w:rFonts w:ascii="Times New Roman" w:hAnsi="Times New Roman" w:eastAsia="宋体"/>
          <w:b w:val="0"/>
          <w:sz w:val="24"/>
        </w:rPr>
        <w:t>1.2.1 数据预处理</w:t>
      </w:r>
    </w:p>
    <w:p>
      <w:pPr>
        <w:spacing w:line="312" w:lineRule="auto" w:before="0" w:after="0"/>
        <w:ind w:firstLineChars="200"/>
      </w:pPr>
      <w:r>
        <w:rPr>
          <w:rFonts w:ascii="Times New Roman" w:hAnsi="Times New Roman" w:eastAsia="宋体"/>
          <w:b w:val="0"/>
          <w:sz w:val="21"/>
        </w:rPr>
        <w:t>图像统一缩放至 32×32，并执行随机水平翻转与归一化。</w:t>
      </w:r>
    </w:p>
    <w:p>
      <w:pPr>
        <w:ind w:firstLineChars="200"/>
        <w:outlineLvl w:val="3"/>
      </w:pPr>
      <w:r>
        <w:rPr>
          <w:rFonts w:ascii="Times New Roman" w:hAnsi="Times New Roman" w:eastAsia="宋体"/>
          <w:b w:val="0"/>
          <w:sz w:val="24"/>
        </w:rPr>
        <w:t>1.2.2 训练流程</w:t>
      </w:r>
    </w:p>
    <w:p>
      <w:pPr>
        <w:spacing w:line="312" w:lineRule="auto" w:before="0" w:after="0"/>
        <w:ind w:firstLineChars="200"/>
      </w:pPr>
      <w:r>
        <w:rPr>
          <w:rFonts w:ascii="Times New Roman" w:hAnsi="Times New Roman" w:eastAsia="宋体"/>
          <w:b w:val="0"/>
          <w:sz w:val="21"/>
        </w:rPr>
        <w:t>实验按照以下步骤进行：</w:t>
      </w:r>
    </w:p>
    <w:p>
      <w:pPr>
        <w:ind w:leftChars="200"/>
        <w:spacing w:line="312" w:lineRule="auto" w:before="0" w:after="0"/>
        <w:numPr>
          <w:ilvl w:val="0"/>
          <w:numId w:val="52"/>
        </w:numPr>
      </w:pPr>
      <w:r>
        <w:rPr>
          <w:rFonts w:ascii="Times New Roman" w:hAnsi="Times New Roman" w:eastAsia="宋体"/>
          <w:b w:val="0"/>
          <w:sz w:val="21"/>
        </w:rPr>
        <w:t>准备数据</w:t>
      </w:r>
    </w:p>
    <w:p>
      <w:pPr>
        <w:ind w:leftChars="400"/>
        <w:spacing w:line="312" w:lineRule="auto" w:before="0" w:after="0"/>
        <w:numPr>
          <w:ilvl w:val="1"/>
          <w:numId w:val="53"/>
        </w:numPr>
      </w:pPr>
      <w:r>
        <w:rPr>
          <w:rFonts w:ascii="Times New Roman" w:hAnsi="Times New Roman" w:eastAsia="宋体"/>
          <w:b w:val="0"/>
          <w:sz w:val="21"/>
        </w:rPr>
        <w:t>下载 CIFAR-10 数据集</w:t>
      </w:r>
    </w:p>
    <w:p>
      <w:pPr>
        <w:ind w:leftChars="400"/>
        <w:spacing w:line="312" w:lineRule="auto" w:before="0" w:after="0"/>
        <w:numPr>
          <w:ilvl w:val="1"/>
          <w:numId w:val="53"/>
        </w:numPr>
      </w:pPr>
      <w:r>
        <w:rPr>
          <w:rFonts w:ascii="Times New Roman" w:hAnsi="Times New Roman" w:eastAsia="宋体"/>
          <w:b w:val="0"/>
          <w:sz w:val="21"/>
        </w:rPr>
        <w:t>划分训练集与测试集</w:t>
      </w:r>
    </w:p>
    <w:p>
      <w:pPr>
        <w:ind w:leftChars="200"/>
        <w:spacing w:line="312" w:lineRule="auto" w:before="0" w:after="0"/>
        <w:numPr>
          <w:ilvl w:val="0"/>
          <w:numId w:val="52"/>
        </w:numPr>
      </w:pPr>
      <w:r>
        <w:rPr>
          <w:rFonts w:ascii="Times New Roman" w:hAnsi="Times New Roman" w:eastAsia="宋体"/>
          <w:b w:val="0"/>
          <w:sz w:val="21"/>
        </w:rPr>
        <w:t>构建模型</w:t>
      </w:r>
    </w:p>
    <w:p>
      <w:pPr>
        <w:ind w:leftChars="400"/>
        <w:spacing w:line="312" w:lineRule="auto" w:before="0" w:after="0"/>
        <w:numPr>
          <w:ilvl w:val="1"/>
          <w:numId w:val="54"/>
        </w:numPr>
      </w:pPr>
      <w:r>
        <w:rPr>
          <w:rFonts w:ascii="Times New Roman" w:hAnsi="Times New Roman" w:eastAsia="宋体"/>
          <w:b w:val="0"/>
          <w:sz w:val="21"/>
        </w:rPr>
        <w:t>定义卷积层结构</w:t>
      </w:r>
    </w:p>
    <w:p>
      <w:pPr>
        <w:ind w:leftChars="600"/>
        <w:spacing w:line="312" w:lineRule="auto" w:before="0" w:after="0"/>
        <w:numPr>
          <w:ilvl w:val="2"/>
          <w:numId w:val="55"/>
        </w:numPr>
      </w:pPr>
      <w:r>
        <w:rPr>
          <w:rFonts w:ascii="Times New Roman" w:hAnsi="Times New Roman" w:eastAsia="宋体"/>
          <w:b w:val="0"/>
          <w:sz w:val="21"/>
        </w:rPr>
        <w:t>第一层：32 个 3×3 卷积核</w:t>
      </w:r>
    </w:p>
    <w:p>
      <w:pPr>
        <w:ind w:leftChars="600"/>
        <w:spacing w:line="312" w:lineRule="auto" w:before="0" w:after="0"/>
        <w:numPr>
          <w:ilvl w:val="2"/>
          <w:numId w:val="55"/>
        </w:numPr>
      </w:pPr>
      <w:r>
        <w:rPr>
          <w:rFonts w:ascii="Times New Roman" w:hAnsi="Times New Roman" w:eastAsia="宋体"/>
          <w:b w:val="0"/>
          <w:sz w:val="21"/>
        </w:rPr>
        <w:t>第二层：64 个 3×3 卷积核</w:t>
      </w:r>
    </w:p>
    <w:p>
      <w:pPr>
        <w:ind w:leftChars="400"/>
        <w:spacing w:line="312" w:lineRule="auto" w:before="0" w:after="0"/>
        <w:numPr>
          <w:ilvl w:val="1"/>
          <w:numId w:val="54"/>
        </w:numPr>
      </w:pPr>
      <w:r>
        <w:rPr>
          <w:rFonts w:ascii="Times New Roman" w:hAnsi="Times New Roman" w:eastAsia="宋体"/>
          <w:b w:val="0"/>
          <w:sz w:val="21"/>
        </w:rPr>
        <w:t>定义全连接层</w:t>
      </w:r>
    </w:p>
    <w:p>
      <w:pPr>
        <w:ind w:leftChars="200"/>
        <w:spacing w:line="312" w:lineRule="auto" w:before="0" w:after="0"/>
        <w:numPr>
          <w:ilvl w:val="0"/>
          <w:numId w:val="52"/>
        </w:numPr>
      </w:pPr>
      <w:r>
        <w:rPr>
          <w:rFonts w:ascii="Times New Roman" w:hAnsi="Times New Roman" w:eastAsia="宋体"/>
          <w:b w:val="0"/>
          <w:sz w:val="21"/>
        </w:rPr>
        <w:t>训练模型</w:t>
      </w:r>
    </w:p>
    <w:p>
      <w:pPr>
        <w:ind w:leftChars="400"/>
        <w:spacing w:line="312" w:lineRule="auto" w:before="0" w:after="0"/>
        <w:numPr>
          <w:ilvl w:val="1"/>
          <w:numId w:val="56"/>
        </w:numPr>
      </w:pPr>
      <w:r>
        <w:rPr>
          <w:rFonts w:ascii="Times New Roman" w:hAnsi="Times New Roman" w:eastAsia="宋体"/>
          <w:b w:val="0"/>
          <w:sz w:val="21"/>
        </w:rPr>
        <w:t>前向传播计算损失</w:t>
      </w:r>
    </w:p>
    <w:p>
      <w:pPr>
        <w:ind w:leftChars="400"/>
        <w:spacing w:line="312" w:lineRule="auto" w:before="0" w:after="0"/>
        <w:numPr>
          <w:ilvl w:val="1"/>
          <w:numId w:val="56"/>
        </w:numPr>
      </w:pPr>
      <w:r>
        <w:rPr>
          <w:rFonts w:ascii="Times New Roman" w:hAnsi="Times New Roman" w:eastAsia="宋体"/>
          <w:b w:val="0"/>
          <w:sz w:val="21"/>
        </w:rPr>
        <w:t>反向传播更新权重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1"/>
        </w:rPr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 超参数配置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2"/>
        <w:gridCol w:w="4702"/>
      </w:tblGrid>
      <w:tr>
        <w:trPr>
          <w:tblHeader/>
        </w:trPr>
        <w:tc>
          <w:tcPr>
            <w:tcW w:type="dxa" w:w="4702"/>
            <w:tcBorders>
              <w:bottom w:val="single" w:sz="6" w:space="0" w:color="000000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rPr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参数</w:t>
            </w:r>
          </w:p>
        </w:tc>
        <w:tc>
          <w:tcPr>
            <w:tcW w:type="dxa" w:w="4702"/>
            <w:tcBorders>
              <w:bottom w:val="single" w:sz="6" w:space="0" w:color="000000"/>
            </w:tcBorders>
            <w:vAlign w:val="center"/>
          </w:tcPr>
          <w:p>
            <w:pPr>
              <w:spacing w:line="240" w:lineRule="auto" w:before="0" w:after="0"/>
              <w:ind w:firstLine="0"/>
              <w:jc w:val="center"/>
              <w:rPr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取值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 w:before="0" w:after="0"/>
              <w:ind w:firstLine="0"/>
              <w:jc w:val="left"/>
              <w:rPr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学习率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 w:before="0" w:after="0"/>
              <w:ind w:firstLine="0"/>
              <w:jc w:val="left"/>
              <w:rPr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0.001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 w:before="0" w:after="0"/>
              <w:ind w:firstLine="0"/>
              <w:jc w:val="left"/>
              <w:rPr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批量大小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 w:before="0" w:after="0"/>
              <w:ind w:firstLine="0"/>
              <w:jc w:val="left"/>
              <w:rPr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 w:before="0" w:after="0"/>
              <w:ind w:firstLine="0"/>
              <w:jc w:val="left"/>
              <w:rPr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训练轮次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 w:before="0" w:after="0"/>
              <w:ind w:firstLine="0"/>
              <w:jc w:val="left"/>
              <w:rPr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100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 w:before="0" w:after="0"/>
              <w:ind w:firstLine="0"/>
              <w:jc w:val="left"/>
              <w:rPr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优化器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 w:before="0" w:after="0"/>
              <w:ind w:firstLine="0"/>
              <w:jc w:val="left"/>
              <w:rPr>
                <w:sz w:val="18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Adam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宋体"/>
          <w:b w:val="0"/>
          <w:sz w:val="21"/>
        </w:rPr>
      </w:r>
    </w:p>
    <w:p>
      <w:pPr>
        <w:ind w:left="0" w:leftChars="0" w:firstLine="0" w:firstLineChars="0" w:hanging="0" w:hangingChars="0"/>
        <w:outlineLvl w:val="2"/>
      </w:pPr>
      <w:r>
        <w:rPr>
          <w:rFonts w:ascii="Times New Roman" w:hAnsi="Times New Roman" w:eastAsia="黑体"/>
          <w:b w:val="0"/>
          <w:sz w:val="28"/>
        </w:rPr>
        <w:t>1.3 理论基础</w:t>
      </w:r>
    </w:p>
    <w:p>
      <w:pPr>
        <w:ind w:firstLineChars="200"/>
        <w:outlineLvl w:val="3"/>
      </w:pPr>
      <w:r>
        <w:rPr>
          <w:rFonts w:ascii="Times New Roman" w:hAnsi="Times New Roman" w:eastAsia="宋体"/>
          <w:b w:val="0"/>
          <w:sz w:val="24"/>
        </w:rPr>
        <w:t>1.3.1 卷积操作</w:t>
      </w:r>
    </w:p>
    <w:p>
      <w:pPr>
        <w:spacing w:line="312" w:lineRule="auto" w:before="0" w:after="0"/>
        <w:ind w:firstLineChars="200"/>
      </w:pPr>
      <w:r>
        <w:rPr>
          <w:rFonts w:ascii="Times New Roman" w:hAnsi="Times New Roman" w:eastAsia="宋体"/>
          <w:b w:val="0"/>
          <w:sz w:val="21"/>
        </w:rPr>
        <w:t xml:space="preserve">卷积操作的定义为 </w:t>
      </w:r>
      <m:oMath>
        <m:r>
          <m:t xml:space="preserve">y</m:t>
        </m:r>
        <m:r>
          <m:t xml:space="preserve"> </m:t>
        </m:r>
        <m:r>
          <m:t xml:space="preserve">=</m:t>
        </m:r>
        <m:r>
          <m:t xml:space="preserve"> </m:t>
        </m:r>
        <m:r>
          <m:t xml:space="preserve">W</m:t>
        </m:r>
        <m:r>
          <m:t xml:space="preserve"> </m:t>
        </m:r>
        <m:r>
          <m:t xml:space="preserve">*</m:t>
        </m:r>
        <m:r>
          <m:t xml:space="preserve"> </m:t>
        </m:r>
        <m:r>
          <m:t xml:space="preserve">x</m:t>
        </m:r>
        <m:r>
          <m:t xml:space="preserve"> </m:t>
        </m:r>
        <m:r>
          <m:t xml:space="preserve">+</m:t>
        </m:r>
        <m:r>
          <m:t xml:space="preserve"> </m:t>
        </m:r>
        <m:r>
          <m:t xml:space="preserve">b</m:t>
        </m:r>
      </m:oMath>
      <w:r>
        <w:rPr>
          <w:rFonts w:ascii="Times New Roman" w:hAnsi="Times New Roman" w:eastAsia="宋体"/>
          <w:b w:val="0"/>
          <w:sz w:val="21"/>
        </w:rPr>
        <w:t xml:space="preserve">，其中 </w:t>
      </w:r>
      <m:oMath>
        <m:r>
          <m:t xml:space="preserve">W</m:t>
        </m:r>
      </m:oMath>
      <w:r>
        <w:rPr>
          <w:rFonts w:ascii="Times New Roman" w:hAnsi="Times New Roman" w:eastAsia="宋体"/>
          <w:b w:val="0"/>
          <w:sz w:val="21"/>
        </w:rPr>
        <w:t xml:space="preserve"> 是卷积核，</w:t>
      </w:r>
      <m:oMath>
        <m:r>
          <m:t xml:space="preserve">b</m:t>
        </m:r>
      </m:oMath>
      <w:r>
        <w:rPr>
          <w:rFonts w:ascii="Times New Roman" w:hAnsi="Times New Roman" w:eastAsia="宋体"/>
          <w:b w:val="0"/>
          <w:sz w:val="21"/>
        </w:rPr>
        <w:t xml:space="preserve"> 是偏置项。</w:t>
      </w:r>
    </w:p>
    <w:p>
      <w:pPr>
        <w:ind w:firstLineChars="200"/>
        <w:outlineLvl w:val="3"/>
      </w:pPr>
      <w:r>
        <w:rPr>
          <w:rFonts w:ascii="Times New Roman" w:hAnsi="Times New Roman" w:eastAsia="宋体"/>
          <w:b w:val="0"/>
          <w:sz w:val="24"/>
        </w:rPr>
        <w:t>1.3.2 损失函数</w:t>
      </w:r>
    </w:p>
    <w:p>
      <w:pPr>
        <w:spacing w:line="312" w:lineRule="auto" w:before="0" w:after="0"/>
        <w:ind w:firstLineChars="200"/>
      </w:pPr>
      <w:r>
        <w:rPr>
          <w:rFonts w:ascii="Times New Roman" w:hAnsi="Times New Roman" w:eastAsia="宋体"/>
          <w:b w:val="0"/>
          <w:sz w:val="21"/>
        </w:rPr>
        <w:t>交叉熵损失函数：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1"/>
        </w:rPr>
      </w:r>
    </w:p>
    <w:p>
      <w:pPr>
        <w:tabs>
          <w:tab w:val="center" w:pos="4536"/>
          <w:tab w:val="right" w:pos="9072"/>
        </w:tabs>
      </w:pPr>
      <w:r>
        <w:tab/>
      </w:r>
      <m:oMath>
        <m:r>
          <m:t xml:space="preserve">L</m:t>
        </m:r>
        <m:r>
          <m:t xml:space="preserve"> </m:t>
        </m:r>
        <m:r>
          <m:t xml:space="preserve">=</m:t>
        </m:r>
        <m:r>
          <m:t xml:space="preserve"> </m:t>
        </m:r>
        <m:r>
          <m:t xml:space="preserve">-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N</m:t>
            </m:r>
          </m:den>
        </m:f>
        <m:r>
          <m:t xml:space="preserve"> </m:t>
        </m:r>
        <m:nary>
          <m:naryPr>
            <m:chr m:val="∑"/>
            <m:limLoc m:val="undOvr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r>
              <m:t xml:space="preserve"> </m:t>
            </m:r>
            <m:d>
              <m:dPr>
                <m:begChr m:val="["/>
                <m:endChr m:val="]"/>
              </m:dPr>
              <m:e>
                <m:r>
                  <m:t xml:space="preserve"> 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i</m:t>
                    </m:r>
                  </m:sub>
                </m:sSub>
                <m:r>
                  <m:t xml:space="preserve"> </m:t>
                </m:r>
                <m:r>
                  <m:t xml:space="preserve">log</m:t>
                </m:r>
                <m:r>
                  <m:t xml:space="preserve"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 xml:space="preserve">y</m:t>
                        </m:r>
                      </m:e>
                    </m:acc>
                  </m:e>
                  <m:sub>
                    <m:r>
                      <m:t xml:space="preserve">i</m:t>
                    </m:r>
                  </m:sub>
                </m:sSub>
                <m:r>
                  <m:t xml:space="preserve">)</m:t>
                </m:r>
                <m:r>
                  <m:t xml:space="preserve"> </m:t>
                </m:r>
                <m:r>
                  <m:t xml:space="preserve">+</m:t>
                </m:r>
                <m:r>
                  <m:t xml:space="preserve"> </m:t>
                </m:r>
                <m:r>
                  <m:t xml:space="preserve">(</m:t>
                </m:r>
                <m:r>
                  <m:t xml:space="preserve">1</m:t>
                </m:r>
                <m:r>
                  <m:t xml:space="preserve">-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i</m:t>
                    </m:r>
                  </m:sub>
                </m:sSub>
                <m:r>
                  <m:t xml:space="preserve">)</m:t>
                </m:r>
                <m:r>
                  <m:t xml:space="preserve"> </m:t>
                </m:r>
                <m:r>
                  <m:t xml:space="preserve">log</m:t>
                </m:r>
                <m:r>
                  <m:t xml:space="preserve">(</m:t>
                </m:r>
                <m:r>
                  <m:t xml:space="preserve">1</m:t>
                </m:r>
                <m:r>
                  <m:t xml:space="preserve">-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 xml:space="preserve">y</m:t>
                        </m:r>
                      </m:e>
                    </m:acc>
                  </m:e>
                  <m:sub>
                    <m:r>
                      <m:t xml:space="preserve">i</m:t>
                    </m:r>
                  </m:sub>
                </m:sSub>
                <m:r>
                  <m:t xml:space="preserve">)</m:t>
                </m:r>
                <m:r>
                  <m:t xml:space="preserve"> </m:t>
                </m:r>
              </m:e>
            </m:d>
          </m:e>
        </m:nary>
      </m:oMath>
      <w:r>
        <w:tab/>
      </w:r>
      <w:r>
        <w:rPr>
          <w:rFonts w:ascii="宋体" w:hAnsi="宋体" w:eastAsia="宋体"/>
          <w:b w:val="0"/>
          <w:sz w:val="21"/>
        </w:rPr>
        <w:t>(</w:t>
      </w:r>
      <w:r>
        <w:rPr>
          <w:rFonts w:ascii="Times New Roman" w:hAnsi="Times New Roman" w:eastAsia="宋体"/>
          <w:b w:val="0"/>
          <w:sz w:val="21"/>
        </w:rPr>
        <w:t>1-1</w:t>
      </w:r>
      <w:r>
        <w:rPr>
          <w:rFonts w:ascii="宋体" w:hAnsi="宋体" w:eastAsia="宋体"/>
          <w:b w:val="0"/>
          <w:sz w:val="21"/>
        </w:rPr>
        <w:t>)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21"/>
        </w:rPr>
      </w:r>
    </w:p>
    <w:p>
      <w:pPr>
        <w:ind w:firstLineChars="200"/>
        <w:outlineLvl w:val="3"/>
      </w:pPr>
      <w:r>
        <w:rPr>
          <w:rFonts w:ascii="Times New Roman" w:hAnsi="Times New Roman" w:eastAsia="宋体"/>
          <w:b w:val="0"/>
          <w:sz w:val="24"/>
        </w:rPr>
        <w:t>1.3.3 参数更新</w:t>
      </w:r>
    </w:p>
    <w:p>
      <w:pPr>
        <w:spacing w:line="312" w:lineRule="auto" w:before="0" w:after="0"/>
        <w:ind w:firstLineChars="200"/>
      </w:pPr>
      <w:r>
        <w:rPr>
          <w:rFonts w:ascii="Times New Roman" w:hAnsi="Times New Roman" w:eastAsia="宋体"/>
          <w:b w:val="0"/>
          <w:sz w:val="21"/>
        </w:rPr>
        <w:t xml:space="preserve">参数更新规则为 </w:t>
      </w:r>
      <m:oMath>
        <m:sSub>
          <m:e>
            <m:r>
              <m:t xml:space="preserve">w</m:t>
            </m:r>
          </m:e>
          <m:sub>
            <m:r>
              <m:t xml:space="preserve">t+1</m:t>
            </m:r>
          </m:sub>
        </m:sSub>
        <m:r>
          <m:t xml:space="preserve"> </m:t>
        </m:r>
        <m:r>
          <m:t xml:space="preserve">=</m:t>
        </m:r>
        <m:r>
          <m:t xml:space="preserve"> </m:t>
        </m:r>
        <m:sSub>
          <m:e>
            <m:r>
              <m:t xml:space="preserve">w</m:t>
            </m:r>
          </m:e>
          <m:sub>
            <m:r>
              <m:t xml:space="preserve">t</m:t>
            </m:r>
          </m:sub>
        </m:sSub>
        <m:r>
          <m:t xml:space="preserve"> </m:t>
        </m:r>
        <m:r>
          <m:t xml:space="preserve">-</m:t>
        </m:r>
        <m:r>
          <m:t xml:space="preserve"> </m:t>
        </m:r>
        <m:r>
          <m:t xml:space="preserve">η</m:t>
        </m:r>
        <m:r>
          <m:t xml:space="preserve"> </m:t>
        </m:r>
        <m:r>
          <m:t xml:space="preserve">·</m:t>
        </m:r>
        <m:r>
          <m:t xml:space="preserve"> </m:t>
        </m:r>
        <m:r>
          <m:t xml:space="preserve">∇</m:t>
        </m:r>
        <m:r>
          <m:t xml:space="preserve"> </m:t>
        </m:r>
        <m:r>
          <m:t xml:space="preserve">L</m:t>
        </m:r>
        <m:r>
          <m:t xml:space="preserve">(</m:t>
        </m:r>
        <m:sSub>
          <m:e>
            <m:r>
              <m:t xml:space="preserve">w</m:t>
            </m:r>
          </m:e>
          <m:sub>
            <m:r>
              <m:t xml:space="preserve">t</m:t>
            </m:r>
          </m:sub>
        </m:sSub>
        <m:r>
          <m:t xml:space="preserve">)</m:t>
        </m:r>
      </m:oMath>
      <w:r>
        <w:rPr>
          <w:rFonts w:ascii="Times New Roman" w:hAnsi="Times New Roman" w:eastAsia="宋体"/>
          <w:b w:val="0"/>
          <w:sz w:val="21"/>
        </w:rPr>
        <w:t xml:space="preserve"> ，学习率 </w:t>
      </w:r>
      <m:oMath>
        <m:r>
          <m:t xml:space="preserve">η</m:t>
        </m:r>
      </m:oMath>
      <w:r>
        <w:rPr>
          <w:rFonts w:ascii="Times New Roman" w:hAnsi="Times New Roman" w:eastAsia="宋体"/>
          <w:b w:val="0"/>
          <w:sz w:val="21"/>
        </w:rPr>
        <w:t xml:space="preserve"> 通过 Adam 优化器自适应调整。</w:t>
      </w:r>
    </w:p>
    <w:p>
      <w:pPr>
        <w:spacing w:line="312" w:lineRule="auto"/>
        <w:ind w:firstLineChars="200"/>
        <w:outlineLvl w:val="4"/>
      </w:pPr>
      <w:r>
        <w:rPr>
          <w:rFonts w:ascii="Times New Roman" w:hAnsi="Times New Roman" w:eastAsia="宋体"/>
          <w:b w:val="0"/>
          <w:sz w:val="21"/>
        </w:rPr>
        <w:t>1.3.3.1 学习率调度</w:t>
      </w:r>
    </w:p>
    <w:p>
      <w:pPr>
        <w:spacing w:line="312" w:lineRule="auto" w:before="0" w:after="0"/>
        <w:ind w:firstLineChars="200"/>
      </w:pPr>
      <w:r>
        <w:rPr>
          <w:rFonts w:ascii="Times New Roman" w:hAnsi="Times New Roman" w:eastAsia="宋体"/>
          <w:b w:val="0"/>
          <w:sz w:val="21"/>
        </w:rPr>
        <w:t>训练过程中学习率按余弦退火策略逐步衰减，初始值为 0.001。</w:t>
      </w:r>
    </w:p>
    <w:p>
      <w:pPr>
        <w:ind w:left="0" w:leftChars="0" w:firstLine="0" w:firstLineChars="0" w:hanging="0" w:hangingChars="0"/>
        <w:outlineLvl w:val="2"/>
      </w:pPr>
      <w:r>
        <w:rPr>
          <w:rFonts w:ascii="Times New Roman" w:hAnsi="Times New Roman" w:eastAsia="黑体"/>
          <w:b w:val="0"/>
          <w:sz w:val="28"/>
        </w:rPr>
        <w:t>1.4 实验结果</w:t>
      </w:r>
    </w:p>
    <w:p>
      <w:pPr>
        <w:spacing w:line="312" w:lineRule="auto" w:before="0" w:after="0"/>
        <w:ind w:firstLineChars="200"/>
      </w:pPr>
      <w:r>
        <w:rPr>
          <w:rFonts w:ascii="Times New Roman" w:hAnsi="Times New Roman" w:eastAsia="宋体"/>
          <w:b w:val="0"/>
          <w:sz w:val="21"/>
        </w:rPr>
        <w:t>模型在测试集上取得了 94.2% 的 Top-1 准确率，验证了深度学习方法在小样本场景下的有效性。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701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t>第</w:t>
    </w:r>
    <w: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sz w:val="21"/>
      </w:rPr>
      <w:t>页  共</w:t>
    </w:r>
    <w:r>
      <w:fldChar w:fldCharType="begin"/>
      <w:instrText xml:space="preserve"> NUMPAGES </w:instrText>
      <w:fldChar w:fldCharType="end"/>
    </w:r>
    <w:r>
      <w:rPr>
        <w:rFonts w:ascii="Times New Roman" w:hAnsi="Times New Roman" w:eastAsia="宋体"/>
        <w:b w:val="0"/>
        <w:sz w:val="21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Times New Roman" w:hAnsi="Times New Roman" w:eastAsia="黑体"/>
        <w:b w:val="0"/>
        <w:sz w:val="18"/>
      </w:rPr>
      <w:t>xxxxx</w:t>
    </w:r>
  </w:p>
  <w:p>
    <w:pPr>
      <w:spacing w:before="0"/>
      <w:jc w:val="right"/>
    </w:pPr>
    <w:r>
      <w:rPr>
        <w:rFonts w:ascii="Times New Roman" w:hAnsi="Times New Roman" w:eastAsia="黑体"/>
        <w:b w:val="0"/>
        <w:sz w:val="18"/>
      </w:rPr>
      <w:t>第一章 深度学习实验报告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50">
    <w:lvl w:ilvl="0">
      <w:start w:val="1"/>
      <w:numFmt w:val="decimal"/>
      <w:lvlText w:val="%1."/>
      <w:lvlJc w:val="left"/>
      <w:pPr>
        <w:ind w:left="0" w:hanging="0"/>
      </w:pPr>
    </w:lvl>
    <w:lvl w:ilvl="1">
      <w:start w:val="1"/>
      <w:numFmt w:val="lowerLetter"/>
      <w:lvlText w:val="%2)"/>
      <w:lvlJc w:val="left"/>
      <w:pPr>
        <w:ind w:left="0" w:hanging="0"/>
      </w:pPr>
    </w:lvl>
    <w:lvl w:ilvl="2">
      <w:start w:val="1"/>
      <w:numFmt w:val="lowerRoman"/>
      <w:lvlText w:val="%3."/>
      <w:lvlJc w:val="left"/>
      <w:pPr>
        <w:ind w:left="0" w:hanging="0"/>
      </w:pPr>
    </w:lvl>
  </w:abstractNum>
  <w:abstractNum w:abstractNumId="51">
    <w:lvl w:ilvl="0">
      <w:start w:val="1"/>
      <w:numFmt w:val="bullet"/>
      <w:lvlText w:val="•"/>
      <w:lvlJc w:val="left"/>
      <w:pPr>
        <w:ind w:left="0" w:hanging="0"/>
      </w:pPr>
    </w:lvl>
    <w:lvl w:ilvl="1">
      <w:start w:val="1"/>
      <w:numFmt w:val="bullet"/>
      <w:lvlText w:val="◦"/>
      <w:lvlJc w:val="left"/>
      <w:pPr>
        <w:ind w:left="0" w:hanging="0"/>
      </w:pPr>
    </w:lvl>
    <w:lvl w:ilvl="2">
      <w:start w:val="1"/>
      <w:numFmt w:val="bullet"/>
      <w:lvlText w:val="▪"/>
      <w:lvlJc w:val="left"/>
      <w:pPr>
        <w:ind w:left="0" w:hanging="0"/>
      </w:pPr>
    </w:lvl>
  </w:abstractNum>
  <w:num w:numId="50">
    <w:abstractNumId w:val="50"/>
  </w:num>
  <w:num w:numId="51">
    <w:abstractNumId w:val="51"/>
  </w:num>
  <w:num w:numId="52">
    <w:abstractNumId w:val="50"/>
  </w:num>
  <w:num w:numId="53">
    <w:abstractNumId w:val="50"/>
  </w:num>
  <w:num w:numId="54">
    <w:abstractNumId w:val="50"/>
  </w:num>
  <w:num w:numId="55">
    <w:abstractNumId w:val="50"/>
  </w:num>
  <w:num w:numId="56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before="0" w:after="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12" w:lineRule="auto"/>
      <w:ind w:left="0" w:leftChars="0" w:firstLine="0" w:firstLineChars="0" w:hanging="0" w:hangingChars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12" w:lineRule="auto"/>
      <w:ind w:left="0" w:leftChars="0" w:firstLine="0" w:firstLineChars="0" w:hanging="0" w:hangingChars="0"/>
      <w:outlineLvl w:val="1"/>
    </w:pPr>
    <w:rPr>
      <w:rFonts w:asciiTheme="majorHAnsi" w:eastAsiaTheme="majorEastAsia" w:hAnsiTheme="majorHAnsi" w:cstheme="majorBidi" w:ascii="Times New Roman" w:hAnsi="Times New Roman" w:eastAsia="黑体"/>
      <w:b w:val="0"/>
      <w:bCs/>
      <w:i w:val="0"/>
      <w:sz w:val="28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12" w:lineRule="auto"/>
      <w:ind w:left="0" w:leftChars="0" w:firstLine="0" w:firstLineChars="0" w:hanging="0" w:hangingChars="0"/>
      <w:outlineLvl w:val="2"/>
    </w:pPr>
    <w:rPr>
      <w:rFonts w:asciiTheme="majorHAnsi" w:eastAsiaTheme="majorEastAsia" w:hAnsiTheme="majorHAnsi" w:cstheme="majorBidi" w:ascii="Times New Roman" w:hAnsi="Times New Roman" w:eastAsia="宋体"/>
      <w:b w:val="0"/>
      <w:bCs/>
      <w:i w:val="0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312" w:lineRule="auto"/>
      <w:ind w:left="0" w:leftChars="0" w:firstLine="0" w:firstLineChars="0" w:hanging="0" w:hangingChars="0"/>
      <w:outlineLvl w:val="3"/>
    </w:pPr>
    <w:rPr>
      <w:rFonts w:asciiTheme="majorHAnsi" w:eastAsiaTheme="majorEastAsia" w:hAnsiTheme="majorHAnsi" w:cstheme="majorBidi" w:ascii="Times New Roman" w:hAnsi="Times New Roman" w:eastAsia="宋体"/>
      <w:b w:val="0"/>
      <w:bCs/>
      <w:i w:val="0"/>
      <w:iCs/>
      <w:sz w:val="21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312" w:lineRule="auto"/>
      <w:ind w:left="0" w:leftChars="0" w:firstLine="0" w:firstLineChars="0" w:hanging="0" w:hangingChars="0"/>
      <w:outlineLvl w:val="4"/>
    </w:pPr>
    <w:rPr>
      <w:rFonts w:asciiTheme="majorHAnsi" w:eastAsiaTheme="majorEastAsia" w:hAnsiTheme="majorHAnsi" w:cstheme="majorBidi" w:ascii="Times New Roman" w:hAnsi="Times New Roman" w:eastAsia="宋体"/>
      <w:b w:val="0"/>
      <w:i w:val="0"/>
      <w:sz w:val="21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312" w:lineRule="auto"/>
      <w:ind w:left="0" w:leftChars="0" w:firstLine="0" w:firstLineChars="0" w:hanging="0" w:hangingChars="0"/>
      <w:outlineLvl w:val="5"/>
    </w:pPr>
    <w:rPr>
      <w:rFonts w:asciiTheme="majorHAnsi" w:eastAsiaTheme="majorEastAsia" w:hAnsiTheme="majorHAnsi" w:cstheme="majorBidi" w:ascii="Times New Roman" w:hAnsi="Times New Roman" w:eastAsia="宋体"/>
      <w:b w:val="0"/>
      <w:i w:val="0"/>
      <w:iCs/>
      <w:sz w:val="21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