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75" w:rsidRPr="002E25F6" w:rsidRDefault="008E4C75" w:rsidP="008E4C75">
      <w:pPr>
        <w:pStyle w:val="2"/>
        <w:tabs>
          <w:tab w:val="left" w:pos="1134"/>
        </w:tabs>
        <w:spacing w:before="0" w:after="0"/>
        <w:ind w:firstLine="567"/>
        <w:jc w:val="center"/>
        <w:rPr>
          <w:rFonts w:ascii="Times New Roman" w:eastAsiaTheme="minorEastAsia" w:hAnsi="Times New Roman" w:cs="Times New Roman"/>
          <w:b w:val="0"/>
          <w:bCs w:val="0"/>
          <w:i w:val="0"/>
          <w:iCs w:val="0"/>
          <w:sz w:val="24"/>
          <w:szCs w:val="24"/>
        </w:rPr>
      </w:pPr>
    </w:p>
    <w:p w:rsidR="008E4C75" w:rsidRPr="002E25F6" w:rsidRDefault="008E4C75" w:rsidP="008E4C75">
      <w:pPr>
        <w:pStyle w:val="2"/>
        <w:tabs>
          <w:tab w:val="left" w:pos="-3261"/>
        </w:tabs>
        <w:spacing w:before="0" w:after="0"/>
        <w:jc w:val="center"/>
        <w:rPr>
          <w:rFonts w:ascii="Times New Roman" w:hAnsi="Times New Roman" w:cs="Times New Roman"/>
          <w:i w:val="0"/>
          <w:iCs w:val="0"/>
          <w:sz w:val="24"/>
          <w:szCs w:val="24"/>
        </w:rPr>
      </w:pPr>
      <w:r w:rsidRPr="002E25F6">
        <w:rPr>
          <w:rFonts w:ascii="Times New Roman" w:hAnsi="Times New Roman" w:cs="Times New Roman"/>
          <w:i w:val="0"/>
          <w:iCs w:val="0"/>
          <w:sz w:val="24"/>
          <w:szCs w:val="24"/>
        </w:rPr>
        <w:t>ПЛАН-КОНСПЕКТ</w:t>
      </w:r>
    </w:p>
    <w:p w:rsidR="008E4C75" w:rsidRPr="002E25F6" w:rsidRDefault="008E4C75" w:rsidP="008E4C75">
      <w:pPr>
        <w:tabs>
          <w:tab w:val="left" w:pos="-3261"/>
        </w:tabs>
        <w:spacing w:after="0" w:line="240" w:lineRule="auto"/>
        <w:jc w:val="center"/>
        <w:rPr>
          <w:rFonts w:ascii="Times New Roman" w:hAnsi="Times New Roman" w:cs="Times New Roman"/>
          <w:sz w:val="24"/>
          <w:szCs w:val="24"/>
          <w:lang w:val="uk-UA"/>
        </w:rPr>
      </w:pPr>
      <w:r w:rsidRPr="002E25F6">
        <w:rPr>
          <w:rFonts w:ascii="Times New Roman" w:hAnsi="Times New Roman" w:cs="Times New Roman"/>
          <w:sz w:val="24"/>
          <w:szCs w:val="24"/>
          <w:lang w:val="uk-UA"/>
        </w:rPr>
        <w:t>для пр</w:t>
      </w:r>
      <w:r>
        <w:rPr>
          <w:rFonts w:ascii="Times New Roman" w:hAnsi="Times New Roman" w:cs="Times New Roman"/>
          <w:sz w:val="24"/>
          <w:szCs w:val="24"/>
          <w:lang w:val="uk-UA"/>
        </w:rPr>
        <w:t xml:space="preserve">оведення заняття з слухачами </w:t>
      </w:r>
      <w:bookmarkStart w:id="0" w:name="_GoBack"/>
      <w:bookmarkEnd w:id="0"/>
      <w:r w:rsidRPr="002E25F6">
        <w:rPr>
          <w:rFonts w:ascii="Times New Roman" w:hAnsi="Times New Roman" w:cs="Times New Roman"/>
          <w:sz w:val="24"/>
          <w:szCs w:val="24"/>
          <w:lang w:val="uk-UA"/>
        </w:rPr>
        <w:t>за програмою проведення навчання з питань пожежної безпеки посадових осіб підприємств, установ та організацій, до обов’язків яких належить забезпечення виконання заходів пожежної безпеки (16 годин)</w:t>
      </w:r>
    </w:p>
    <w:p w:rsidR="008E4C75" w:rsidRPr="002E25F6" w:rsidRDefault="008E4C75" w:rsidP="008E4C75">
      <w:pPr>
        <w:pStyle w:val="5"/>
        <w:tabs>
          <w:tab w:val="left" w:pos="1134"/>
        </w:tabs>
        <w:spacing w:before="0" w:after="0"/>
        <w:ind w:firstLine="567"/>
        <w:jc w:val="both"/>
        <w:rPr>
          <w:i w:val="0"/>
          <w:iCs w:val="0"/>
          <w:sz w:val="24"/>
          <w:szCs w:val="24"/>
        </w:rPr>
      </w:pPr>
    </w:p>
    <w:p w:rsidR="008E4C75" w:rsidRDefault="008E4C75" w:rsidP="008E4C75">
      <w:pPr>
        <w:pStyle w:val="5"/>
        <w:tabs>
          <w:tab w:val="left" w:pos="1134"/>
        </w:tabs>
        <w:spacing w:before="0" w:after="0"/>
        <w:ind w:firstLine="567"/>
        <w:jc w:val="both"/>
        <w:rPr>
          <w:i w:val="0"/>
          <w:iCs w:val="0"/>
          <w:sz w:val="24"/>
          <w:szCs w:val="24"/>
        </w:rPr>
      </w:pPr>
      <w:r w:rsidRPr="002E25F6">
        <w:rPr>
          <w:i w:val="0"/>
          <w:iCs w:val="0"/>
          <w:sz w:val="24"/>
          <w:szCs w:val="24"/>
        </w:rPr>
        <w:t xml:space="preserve">ТЕМА </w:t>
      </w:r>
      <w:r>
        <w:rPr>
          <w:i w:val="0"/>
          <w:iCs w:val="0"/>
          <w:sz w:val="24"/>
          <w:szCs w:val="24"/>
        </w:rPr>
        <w:t>11</w:t>
      </w:r>
      <w:r w:rsidRPr="002E25F6">
        <w:rPr>
          <w:i w:val="0"/>
          <w:iCs w:val="0"/>
          <w:sz w:val="24"/>
          <w:szCs w:val="24"/>
        </w:rPr>
        <w:t xml:space="preserve">. </w:t>
      </w:r>
      <w:r>
        <w:rPr>
          <w:i w:val="0"/>
          <w:iCs w:val="0"/>
          <w:sz w:val="24"/>
          <w:szCs w:val="24"/>
        </w:rPr>
        <w:t>Дотримання вимог пожежної безпеки під час проектування, будівництва та реконструкції об’єктів виробничого та іншого призначення.</w:t>
      </w:r>
    </w:p>
    <w:p w:rsidR="008E4C75" w:rsidRPr="002E25F6" w:rsidRDefault="008E4C75" w:rsidP="008E4C75">
      <w:pPr>
        <w:pStyle w:val="5"/>
        <w:tabs>
          <w:tab w:val="left" w:pos="1134"/>
        </w:tabs>
        <w:spacing w:before="0" w:after="0"/>
        <w:ind w:firstLine="567"/>
        <w:jc w:val="both"/>
        <w:rPr>
          <w:b w:val="0"/>
          <w:bCs w:val="0"/>
          <w:sz w:val="24"/>
          <w:szCs w:val="24"/>
        </w:rPr>
      </w:pPr>
      <w:r w:rsidRPr="002E25F6">
        <w:rPr>
          <w:sz w:val="24"/>
          <w:szCs w:val="24"/>
        </w:rPr>
        <w:t>(</w:t>
      </w:r>
      <w:r>
        <w:rPr>
          <w:sz w:val="24"/>
          <w:szCs w:val="24"/>
        </w:rPr>
        <w:t>0,5</w:t>
      </w:r>
      <w:r w:rsidRPr="002E25F6">
        <w:rPr>
          <w:sz w:val="24"/>
          <w:szCs w:val="24"/>
        </w:rPr>
        <w:t xml:space="preserve"> годин)</w:t>
      </w:r>
    </w:p>
    <w:p w:rsidR="008E4C75" w:rsidRPr="002E25F6" w:rsidRDefault="008E4C75" w:rsidP="008E4C75">
      <w:pPr>
        <w:tabs>
          <w:tab w:val="left" w:pos="1134"/>
        </w:tabs>
        <w:spacing w:after="0" w:line="240" w:lineRule="auto"/>
        <w:ind w:firstLine="567"/>
        <w:jc w:val="both"/>
        <w:rPr>
          <w:rFonts w:ascii="Times New Roman" w:hAnsi="Times New Roman" w:cs="Times New Roman"/>
          <w:sz w:val="24"/>
          <w:szCs w:val="24"/>
          <w:lang w:val="uk-UA"/>
        </w:rPr>
      </w:pPr>
    </w:p>
    <w:p w:rsidR="008E4C75" w:rsidRPr="002E25F6" w:rsidRDefault="008E4C75" w:rsidP="008E4C75">
      <w:pPr>
        <w:tabs>
          <w:tab w:val="left" w:pos="1134"/>
        </w:tabs>
        <w:spacing w:after="0" w:line="240" w:lineRule="auto"/>
        <w:ind w:firstLine="567"/>
        <w:jc w:val="both"/>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Навчальна мета:</w:t>
      </w:r>
    </w:p>
    <w:p w:rsidR="008E4C75" w:rsidRPr="00C74515" w:rsidRDefault="008E4C75" w:rsidP="008E4C75">
      <w:pPr>
        <w:pStyle w:val="a3"/>
        <w:numPr>
          <w:ilvl w:val="0"/>
          <w:numId w:val="5"/>
        </w:numPr>
        <w:tabs>
          <w:tab w:val="left" w:pos="0"/>
          <w:tab w:val="left" w:pos="851"/>
        </w:tabs>
        <w:ind w:left="0" w:firstLine="567"/>
        <w:jc w:val="both"/>
        <w:rPr>
          <w:lang w:eastAsia="uk-UA"/>
        </w:rPr>
      </w:pPr>
      <w:r>
        <w:rPr>
          <w:lang w:eastAsia="uk-UA"/>
        </w:rPr>
        <w:t>Ознайомлення з нормативною базою щодо д</w:t>
      </w:r>
      <w:r w:rsidRPr="00BF0123">
        <w:rPr>
          <w:lang w:eastAsia="uk-UA"/>
        </w:rPr>
        <w:t>отримання вимог пожежної безпеки під час проектування, будівництва та реконструкції об’єктів виробничого та іншого призначення.</w:t>
      </w:r>
    </w:p>
    <w:p w:rsidR="008E4C75" w:rsidRDefault="008E4C75" w:rsidP="008E4C75">
      <w:pPr>
        <w:tabs>
          <w:tab w:val="left" w:pos="1134"/>
        </w:tabs>
        <w:spacing w:after="0" w:line="240" w:lineRule="auto"/>
        <w:ind w:firstLine="567"/>
        <w:jc w:val="both"/>
        <w:rPr>
          <w:rFonts w:ascii="Times New Roman" w:hAnsi="Times New Roman" w:cs="Times New Roman"/>
          <w:b/>
          <w:bCs/>
          <w:sz w:val="24"/>
          <w:szCs w:val="24"/>
          <w:lang w:val="uk-UA"/>
        </w:rPr>
      </w:pPr>
    </w:p>
    <w:p w:rsidR="008E4C75" w:rsidRPr="002E25F6" w:rsidRDefault="008E4C75" w:rsidP="008E4C75">
      <w:pPr>
        <w:tabs>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b/>
          <w:bCs/>
          <w:sz w:val="24"/>
          <w:szCs w:val="24"/>
          <w:lang w:val="uk-UA"/>
        </w:rPr>
        <w:t xml:space="preserve">Тип заняття: </w:t>
      </w:r>
      <w:r w:rsidRPr="002E25F6">
        <w:rPr>
          <w:rFonts w:ascii="Times New Roman" w:hAnsi="Times New Roman" w:cs="Times New Roman"/>
          <w:sz w:val="24"/>
          <w:szCs w:val="24"/>
          <w:lang w:val="uk-UA"/>
        </w:rPr>
        <w:t>засвоєння нових знань</w:t>
      </w:r>
    </w:p>
    <w:p w:rsidR="008E4C75" w:rsidRPr="002E25F6" w:rsidRDefault="008E4C75" w:rsidP="008E4C75">
      <w:pPr>
        <w:tabs>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b/>
          <w:bCs/>
          <w:sz w:val="24"/>
          <w:szCs w:val="24"/>
          <w:lang w:val="uk-UA"/>
        </w:rPr>
        <w:t>Вид заняття:</w:t>
      </w:r>
      <w:r w:rsidRPr="002E25F6">
        <w:rPr>
          <w:rFonts w:ascii="Times New Roman" w:hAnsi="Times New Roman" w:cs="Times New Roman"/>
          <w:sz w:val="24"/>
          <w:szCs w:val="24"/>
          <w:lang w:val="uk-UA"/>
        </w:rPr>
        <w:t xml:space="preserve"> групове заняття</w:t>
      </w:r>
    </w:p>
    <w:p w:rsidR="008E4C75" w:rsidRPr="002E25F6" w:rsidRDefault="008E4C75" w:rsidP="008E4C75">
      <w:pPr>
        <w:tabs>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b/>
          <w:bCs/>
          <w:sz w:val="24"/>
          <w:szCs w:val="24"/>
          <w:lang w:val="uk-UA"/>
        </w:rPr>
        <w:t xml:space="preserve">Дидактичне забезпечення: </w:t>
      </w:r>
      <w:r w:rsidRPr="002E25F6">
        <w:rPr>
          <w:rFonts w:ascii="Times New Roman" w:hAnsi="Times New Roman" w:cs="Times New Roman"/>
          <w:sz w:val="24"/>
          <w:szCs w:val="24"/>
          <w:lang w:val="uk-UA"/>
        </w:rPr>
        <w:t>мультимедійний проектор, ноутбук, презентаційні матеріали, навчальні фільми</w:t>
      </w:r>
    </w:p>
    <w:p w:rsidR="008E4C75" w:rsidRDefault="008E4C75" w:rsidP="008E4C75">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p>
    <w:p w:rsidR="008E4C75" w:rsidRPr="00E74E94" w:rsidRDefault="008E4C75" w:rsidP="008E4C75">
      <w:pPr>
        <w:tabs>
          <w:tab w:val="left" w:pos="1134"/>
          <w:tab w:val="left" w:pos="1260"/>
          <w:tab w:val="left" w:pos="1440"/>
        </w:tabs>
        <w:spacing w:after="0" w:line="240" w:lineRule="auto"/>
        <w:ind w:firstLine="567"/>
        <w:jc w:val="both"/>
        <w:rPr>
          <w:rFonts w:ascii="Times New Roman" w:hAnsi="Times New Roman" w:cs="Times New Roman"/>
          <w:b/>
          <w:bCs/>
          <w:sz w:val="24"/>
          <w:szCs w:val="24"/>
          <w:lang w:val="uk-UA"/>
        </w:rPr>
      </w:pPr>
      <w:r w:rsidRPr="00E74E94">
        <w:rPr>
          <w:rFonts w:ascii="Times New Roman" w:hAnsi="Times New Roman" w:cs="Times New Roman"/>
          <w:b/>
          <w:bCs/>
          <w:sz w:val="24"/>
          <w:szCs w:val="24"/>
          <w:lang w:val="uk-UA"/>
        </w:rPr>
        <w:t>Список літератури:</w:t>
      </w:r>
    </w:p>
    <w:p w:rsidR="008E4C75" w:rsidRPr="00E74E94" w:rsidRDefault="008E4C75" w:rsidP="008E4C75">
      <w:pPr>
        <w:pStyle w:val="a5"/>
        <w:numPr>
          <w:ilvl w:val="0"/>
          <w:numId w:val="4"/>
        </w:numPr>
        <w:tabs>
          <w:tab w:val="left" w:pos="-3402"/>
          <w:tab w:val="num" w:pos="-3261"/>
          <w:tab w:val="left" w:pos="851"/>
          <w:tab w:val="left" w:pos="993"/>
        </w:tabs>
        <w:ind w:left="0" w:firstLine="567"/>
        <w:jc w:val="both"/>
        <w:rPr>
          <w:sz w:val="24"/>
          <w:szCs w:val="24"/>
        </w:rPr>
      </w:pPr>
      <w:r w:rsidRPr="00E74E94">
        <w:rPr>
          <w:sz w:val="24"/>
          <w:szCs w:val="24"/>
        </w:rPr>
        <w:t>Кодекс цивільного захисту України від 2 жовтня 2012 №5403-VI // Відомості Верховної Ради України. - 2013. - № 34-35.</w:t>
      </w:r>
    </w:p>
    <w:p w:rsidR="008E4C75" w:rsidRPr="00E74E94" w:rsidRDefault="008E4C75" w:rsidP="008E4C75">
      <w:pPr>
        <w:pStyle w:val="a5"/>
        <w:numPr>
          <w:ilvl w:val="0"/>
          <w:numId w:val="4"/>
        </w:numPr>
        <w:tabs>
          <w:tab w:val="left" w:pos="-3402"/>
          <w:tab w:val="num" w:pos="-3261"/>
          <w:tab w:val="left" w:pos="851"/>
          <w:tab w:val="left" w:pos="993"/>
        </w:tabs>
        <w:ind w:left="0" w:firstLine="567"/>
        <w:jc w:val="both"/>
        <w:rPr>
          <w:sz w:val="24"/>
          <w:szCs w:val="24"/>
        </w:rPr>
      </w:pPr>
      <w:r w:rsidRPr="00E74E94">
        <w:rPr>
          <w:sz w:val="24"/>
          <w:szCs w:val="24"/>
        </w:rPr>
        <w:t>Наказ МВС України від 30 грудня 2014р. №1417, зареєстрований в Мін’юсті України 4 березня 2015року за №252/26697 «Про затвердження Правил пожежної безпеки в Україні» зі змінами.</w:t>
      </w:r>
    </w:p>
    <w:p w:rsidR="008E4C75" w:rsidRPr="002E25F6" w:rsidRDefault="008E4C75" w:rsidP="008E4C75">
      <w:pPr>
        <w:tabs>
          <w:tab w:val="left" w:pos="993"/>
          <w:tab w:val="left" w:pos="1134"/>
        </w:tabs>
        <w:spacing w:after="0" w:line="240" w:lineRule="auto"/>
        <w:ind w:firstLine="567"/>
        <w:jc w:val="both"/>
        <w:rPr>
          <w:rFonts w:ascii="Times New Roman" w:hAnsi="Times New Roman" w:cs="Times New Roman"/>
          <w:b/>
          <w:bCs/>
          <w:sz w:val="24"/>
          <w:szCs w:val="24"/>
          <w:lang w:val="uk-UA"/>
        </w:rPr>
      </w:pPr>
    </w:p>
    <w:p w:rsidR="008E4C75" w:rsidRPr="002E25F6" w:rsidRDefault="008E4C75" w:rsidP="008E4C75">
      <w:pPr>
        <w:tabs>
          <w:tab w:val="left" w:pos="993"/>
          <w:tab w:val="left" w:pos="1134"/>
        </w:tabs>
        <w:spacing w:after="0" w:line="240" w:lineRule="auto"/>
        <w:ind w:firstLine="567"/>
        <w:jc w:val="both"/>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Перелік знань та умінь:</w:t>
      </w:r>
    </w:p>
    <w:p w:rsidR="008E4C75" w:rsidRPr="002E25F6" w:rsidRDefault="008E4C75" w:rsidP="008E4C75">
      <w:pPr>
        <w:tabs>
          <w:tab w:val="left" w:pos="0"/>
          <w:tab w:val="left" w:pos="993"/>
          <w:tab w:val="left" w:pos="1134"/>
        </w:tabs>
        <w:spacing w:after="0" w:line="240" w:lineRule="auto"/>
        <w:ind w:firstLine="567"/>
        <w:jc w:val="both"/>
        <w:rPr>
          <w:rFonts w:ascii="Times New Roman" w:hAnsi="Times New Roman" w:cs="Times New Roman"/>
          <w:sz w:val="24"/>
          <w:szCs w:val="24"/>
          <w:lang w:val="uk-UA"/>
        </w:rPr>
      </w:pPr>
      <w:r w:rsidRPr="002E25F6">
        <w:rPr>
          <w:rFonts w:ascii="Times New Roman" w:hAnsi="Times New Roman" w:cs="Times New Roman"/>
          <w:sz w:val="24"/>
          <w:szCs w:val="24"/>
          <w:lang w:val="uk-UA"/>
        </w:rPr>
        <w:t xml:space="preserve">Має бути ознайомлений з </w:t>
      </w:r>
      <w:r w:rsidRPr="00741516">
        <w:rPr>
          <w:rFonts w:ascii="Times New Roman" w:hAnsi="Times New Roman" w:cs="Times New Roman"/>
          <w:sz w:val="24"/>
          <w:szCs w:val="24"/>
          <w:lang w:val="uk-UA"/>
        </w:rPr>
        <w:t>нормативною базою щодо дотримання вимог пожежної безпеки під час проектування, будівництва та реконструкції об’єктів виробничого та іншого призначення</w:t>
      </w:r>
      <w:r w:rsidRPr="002E25F6">
        <w:rPr>
          <w:rFonts w:ascii="Times New Roman" w:hAnsi="Times New Roman" w:cs="Times New Roman"/>
          <w:sz w:val="24"/>
          <w:szCs w:val="24"/>
          <w:lang w:val="uk-UA"/>
        </w:rPr>
        <w:t xml:space="preserve">. </w:t>
      </w:r>
    </w:p>
    <w:p w:rsidR="008E4C75" w:rsidRDefault="008E4C75" w:rsidP="008E4C75">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p>
    <w:p w:rsidR="008E4C75" w:rsidRPr="002E25F6" w:rsidRDefault="008E4C75" w:rsidP="008E4C75">
      <w:pPr>
        <w:tabs>
          <w:tab w:val="left" w:pos="0"/>
          <w:tab w:val="left" w:pos="993"/>
          <w:tab w:val="left" w:pos="1134"/>
        </w:tabs>
        <w:spacing w:after="0" w:line="240" w:lineRule="auto"/>
        <w:ind w:firstLine="567"/>
        <w:jc w:val="both"/>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Структура заняття</w:t>
      </w:r>
    </w:p>
    <w:p w:rsidR="008E4C75" w:rsidRPr="002E25F6" w:rsidRDefault="008E4C75" w:rsidP="008E4C75">
      <w:pPr>
        <w:pStyle w:val="a5"/>
        <w:numPr>
          <w:ilvl w:val="0"/>
          <w:numId w:val="1"/>
        </w:numPr>
        <w:tabs>
          <w:tab w:val="left" w:pos="851"/>
          <w:tab w:val="left" w:pos="993"/>
        </w:tabs>
        <w:ind w:left="0" w:firstLine="567"/>
        <w:jc w:val="both"/>
        <w:rPr>
          <w:sz w:val="24"/>
          <w:szCs w:val="24"/>
        </w:rPr>
      </w:pPr>
      <w:r w:rsidRPr="002E25F6">
        <w:rPr>
          <w:sz w:val="24"/>
          <w:szCs w:val="24"/>
        </w:rPr>
        <w:t>Організаційно-вступна частина заняття.</w:t>
      </w:r>
    </w:p>
    <w:p w:rsidR="008E4C75" w:rsidRPr="002E25F6" w:rsidRDefault="008E4C75" w:rsidP="008E4C75">
      <w:pPr>
        <w:pStyle w:val="a5"/>
        <w:numPr>
          <w:ilvl w:val="0"/>
          <w:numId w:val="1"/>
        </w:numPr>
        <w:tabs>
          <w:tab w:val="left" w:pos="0"/>
          <w:tab w:val="left" w:pos="851"/>
          <w:tab w:val="left" w:pos="993"/>
          <w:tab w:val="left" w:pos="1134"/>
        </w:tabs>
        <w:ind w:left="0" w:firstLine="567"/>
        <w:jc w:val="both"/>
        <w:rPr>
          <w:sz w:val="24"/>
          <w:szCs w:val="24"/>
        </w:rPr>
      </w:pPr>
      <w:r w:rsidRPr="002E25F6">
        <w:rPr>
          <w:sz w:val="24"/>
          <w:szCs w:val="24"/>
        </w:rPr>
        <w:t>Пояснення нової теми (методом розповіді та пояснення, комбінуючи їх з бесідою):</w:t>
      </w:r>
    </w:p>
    <w:p w:rsidR="008E4C75" w:rsidRPr="00C74515" w:rsidRDefault="008E4C75" w:rsidP="008E4C75">
      <w:pPr>
        <w:pStyle w:val="a3"/>
        <w:numPr>
          <w:ilvl w:val="0"/>
          <w:numId w:val="6"/>
        </w:numPr>
        <w:tabs>
          <w:tab w:val="left" w:pos="851"/>
        </w:tabs>
        <w:ind w:left="0" w:firstLine="567"/>
        <w:jc w:val="both"/>
        <w:rPr>
          <w:lang w:eastAsia="uk-UA"/>
        </w:rPr>
      </w:pPr>
      <w:r w:rsidRPr="00C74515">
        <w:rPr>
          <w:lang w:eastAsia="uk-UA"/>
        </w:rPr>
        <w:t>Ознайом</w:t>
      </w:r>
      <w:r>
        <w:rPr>
          <w:lang w:eastAsia="uk-UA"/>
        </w:rPr>
        <w:t>лення</w:t>
      </w:r>
      <w:r w:rsidRPr="00C74515">
        <w:rPr>
          <w:lang w:eastAsia="uk-UA"/>
        </w:rPr>
        <w:t xml:space="preserve"> з </w:t>
      </w:r>
      <w:r>
        <w:rPr>
          <w:lang w:eastAsia="uk-UA"/>
        </w:rPr>
        <w:t>основними будівельними матеріалами</w:t>
      </w:r>
      <w:r w:rsidRPr="00C74515">
        <w:rPr>
          <w:lang w:eastAsia="uk-UA"/>
        </w:rPr>
        <w:t>.</w:t>
      </w:r>
    </w:p>
    <w:p w:rsidR="008E4C75" w:rsidRDefault="008E4C75" w:rsidP="008E4C75">
      <w:pPr>
        <w:pStyle w:val="a3"/>
        <w:numPr>
          <w:ilvl w:val="0"/>
          <w:numId w:val="6"/>
        </w:numPr>
        <w:tabs>
          <w:tab w:val="left" w:pos="851"/>
        </w:tabs>
        <w:ind w:left="0" w:firstLine="567"/>
        <w:jc w:val="both"/>
        <w:rPr>
          <w:lang w:eastAsia="uk-UA"/>
        </w:rPr>
      </w:pPr>
      <w:r w:rsidRPr="00C74515">
        <w:rPr>
          <w:lang w:eastAsia="uk-UA"/>
        </w:rPr>
        <w:t>Ознайом</w:t>
      </w:r>
      <w:r>
        <w:rPr>
          <w:lang w:eastAsia="uk-UA"/>
        </w:rPr>
        <w:t>лення з</w:t>
      </w:r>
      <w:r w:rsidRPr="00C74515">
        <w:rPr>
          <w:lang w:eastAsia="uk-UA"/>
        </w:rPr>
        <w:t xml:space="preserve"> </w:t>
      </w:r>
      <w:r>
        <w:rPr>
          <w:lang w:eastAsia="uk-UA"/>
        </w:rPr>
        <w:t>порядком сертифікації та контролем продукції на відповідність вимогам пожежної безпеки</w:t>
      </w:r>
      <w:r w:rsidRPr="00C74515">
        <w:rPr>
          <w:lang w:eastAsia="uk-UA"/>
        </w:rPr>
        <w:t>.</w:t>
      </w:r>
    </w:p>
    <w:p w:rsidR="008E4C75" w:rsidRDefault="008E4C75" w:rsidP="008E4C75">
      <w:pPr>
        <w:pStyle w:val="a3"/>
        <w:numPr>
          <w:ilvl w:val="0"/>
          <w:numId w:val="6"/>
        </w:numPr>
        <w:tabs>
          <w:tab w:val="left" w:pos="851"/>
        </w:tabs>
        <w:ind w:left="0" w:firstLine="567"/>
        <w:jc w:val="both"/>
        <w:rPr>
          <w:lang w:eastAsia="uk-UA"/>
        </w:rPr>
      </w:pPr>
      <w:r>
        <w:rPr>
          <w:lang w:eastAsia="uk-UA"/>
        </w:rPr>
        <w:t>Вивчення ступенів вогнестійкості будівель.</w:t>
      </w:r>
    </w:p>
    <w:p w:rsidR="008E4C75" w:rsidRPr="00C74515" w:rsidRDefault="008E4C75" w:rsidP="008E4C75">
      <w:pPr>
        <w:pStyle w:val="a3"/>
        <w:numPr>
          <w:ilvl w:val="0"/>
          <w:numId w:val="6"/>
        </w:numPr>
        <w:tabs>
          <w:tab w:val="left" w:pos="851"/>
        </w:tabs>
        <w:ind w:left="0" w:firstLine="567"/>
        <w:jc w:val="both"/>
        <w:rPr>
          <w:lang w:eastAsia="uk-UA"/>
        </w:rPr>
      </w:pPr>
      <w:r>
        <w:rPr>
          <w:lang w:eastAsia="uk-UA"/>
        </w:rPr>
        <w:t>Ознайомлення з забезпеченням вогнезахисту будівельних конструкцій і матеріалів.</w:t>
      </w:r>
    </w:p>
    <w:p w:rsidR="008E4C75" w:rsidRPr="002E25F6" w:rsidRDefault="008E4C75" w:rsidP="008E4C75">
      <w:pPr>
        <w:tabs>
          <w:tab w:val="left" w:pos="851"/>
          <w:tab w:val="left" w:pos="993"/>
        </w:tabs>
        <w:spacing w:after="0" w:line="240" w:lineRule="auto"/>
        <w:ind w:firstLine="567"/>
        <w:jc w:val="both"/>
        <w:rPr>
          <w:rFonts w:ascii="Times New Roman" w:eastAsia="Times New Roman" w:hAnsi="Times New Roman" w:cs="Times New Roman"/>
          <w:sz w:val="24"/>
          <w:szCs w:val="24"/>
          <w:lang w:val="uk-UA" w:eastAsia="en-US"/>
        </w:rPr>
      </w:pPr>
      <w:r w:rsidRPr="002E25F6">
        <w:rPr>
          <w:rFonts w:ascii="Times New Roman" w:eastAsia="Times New Roman" w:hAnsi="Times New Roman" w:cs="Times New Roman"/>
          <w:sz w:val="24"/>
          <w:szCs w:val="24"/>
          <w:lang w:val="uk-UA" w:eastAsia="en-US"/>
        </w:rPr>
        <w:t>3. Підсумок заняття: підведення підсумків розглянутих на занятті питань</w:t>
      </w:r>
    </w:p>
    <w:p w:rsidR="008E4C75" w:rsidRPr="002E25F6" w:rsidRDefault="008E4C75" w:rsidP="008E4C75">
      <w:pPr>
        <w:tabs>
          <w:tab w:val="left" w:pos="0"/>
          <w:tab w:val="left" w:pos="993"/>
          <w:tab w:val="left" w:pos="1134"/>
        </w:tabs>
        <w:spacing w:after="0" w:line="240" w:lineRule="auto"/>
        <w:ind w:firstLine="567"/>
        <w:jc w:val="both"/>
        <w:rPr>
          <w:rFonts w:ascii="Times New Roman" w:eastAsia="Times New Roman" w:hAnsi="Times New Roman" w:cs="Times New Roman"/>
          <w:sz w:val="24"/>
          <w:szCs w:val="24"/>
          <w:lang w:val="uk-UA" w:eastAsia="en-US"/>
        </w:rPr>
      </w:pPr>
    </w:p>
    <w:p w:rsidR="008E4C75" w:rsidRPr="002E25F6" w:rsidRDefault="008E4C75" w:rsidP="008E4C75">
      <w:pPr>
        <w:tabs>
          <w:tab w:val="left" w:pos="0"/>
          <w:tab w:val="left" w:pos="1134"/>
        </w:tabs>
        <w:spacing w:after="0" w:line="240" w:lineRule="auto"/>
        <w:ind w:firstLine="567"/>
        <w:jc w:val="center"/>
        <w:rPr>
          <w:rFonts w:ascii="Times New Roman" w:hAnsi="Times New Roman" w:cs="Times New Roman"/>
          <w:b/>
          <w:bCs/>
          <w:sz w:val="24"/>
          <w:szCs w:val="24"/>
          <w:lang w:val="uk-UA"/>
        </w:rPr>
      </w:pPr>
      <w:r w:rsidRPr="002E25F6">
        <w:rPr>
          <w:rFonts w:ascii="Times New Roman" w:hAnsi="Times New Roman" w:cs="Times New Roman"/>
          <w:b/>
          <w:bCs/>
          <w:sz w:val="24"/>
          <w:szCs w:val="24"/>
          <w:lang w:val="uk-UA"/>
        </w:rPr>
        <w:t>Хід заняття</w:t>
      </w:r>
    </w:p>
    <w:p w:rsidR="008E4C75" w:rsidRPr="002E25F6" w:rsidRDefault="008E4C75" w:rsidP="008E4C75">
      <w:pPr>
        <w:tabs>
          <w:tab w:val="left" w:pos="0"/>
          <w:tab w:val="left" w:pos="1134"/>
        </w:tabs>
        <w:spacing w:after="0" w:line="240" w:lineRule="auto"/>
        <w:ind w:firstLine="567"/>
        <w:jc w:val="center"/>
        <w:rPr>
          <w:rFonts w:ascii="Times New Roman" w:hAnsi="Times New Roman" w:cs="Times New Roman"/>
          <w:b/>
          <w:bCs/>
          <w:sz w:val="24"/>
          <w:szCs w:val="24"/>
          <w:lang w:val="uk-UA"/>
        </w:rPr>
      </w:pPr>
    </w:p>
    <w:p w:rsidR="008E4C75" w:rsidRPr="002E25F6" w:rsidRDefault="008E4C75" w:rsidP="008E4C75">
      <w:pPr>
        <w:pStyle w:val="a5"/>
        <w:numPr>
          <w:ilvl w:val="0"/>
          <w:numId w:val="2"/>
        </w:numPr>
        <w:tabs>
          <w:tab w:val="left" w:pos="993"/>
        </w:tabs>
        <w:ind w:left="0" w:firstLine="567"/>
        <w:jc w:val="both"/>
        <w:rPr>
          <w:b/>
          <w:bCs/>
          <w:sz w:val="24"/>
          <w:szCs w:val="24"/>
        </w:rPr>
      </w:pPr>
      <w:r w:rsidRPr="002E25F6">
        <w:rPr>
          <w:b/>
          <w:bCs/>
          <w:sz w:val="24"/>
          <w:szCs w:val="24"/>
        </w:rPr>
        <w:t>Організаційно-вступна частина заняття</w:t>
      </w:r>
      <w:r w:rsidRPr="002E25F6">
        <w:rPr>
          <w:sz w:val="24"/>
          <w:szCs w:val="24"/>
        </w:rPr>
        <w:t xml:space="preserve">. </w:t>
      </w:r>
      <w:r w:rsidRPr="002E25F6">
        <w:rPr>
          <w:b/>
          <w:bCs/>
          <w:sz w:val="24"/>
          <w:szCs w:val="24"/>
        </w:rPr>
        <w:t xml:space="preserve">( </w:t>
      </w:r>
      <w:r w:rsidRPr="002E25F6">
        <w:rPr>
          <w:b/>
          <w:bCs/>
          <w:i/>
          <w:sz w:val="24"/>
          <w:szCs w:val="24"/>
        </w:rPr>
        <w:t>3 хв.</w:t>
      </w:r>
      <w:r w:rsidRPr="002E25F6">
        <w:rPr>
          <w:b/>
          <w:bCs/>
          <w:sz w:val="24"/>
          <w:szCs w:val="24"/>
        </w:rPr>
        <w:t>)</w:t>
      </w:r>
    </w:p>
    <w:p w:rsidR="008E4C75" w:rsidRPr="002E25F6" w:rsidRDefault="008E4C75" w:rsidP="008E4C75">
      <w:pPr>
        <w:pStyle w:val="a5"/>
        <w:tabs>
          <w:tab w:val="left" w:pos="993"/>
        </w:tabs>
        <w:ind w:left="0" w:firstLine="567"/>
        <w:jc w:val="both"/>
        <w:rPr>
          <w:sz w:val="24"/>
          <w:szCs w:val="24"/>
        </w:rPr>
      </w:pPr>
      <w:r w:rsidRPr="002E25F6">
        <w:rPr>
          <w:sz w:val="24"/>
          <w:szCs w:val="24"/>
        </w:rPr>
        <w:t>Налаштування психологічного настрою слухачів на продуктивну роботу:</w:t>
      </w:r>
    </w:p>
    <w:p w:rsidR="008E4C75" w:rsidRPr="002E25F6" w:rsidRDefault="008E4C75" w:rsidP="008E4C75">
      <w:pPr>
        <w:pStyle w:val="a5"/>
        <w:numPr>
          <w:ilvl w:val="0"/>
          <w:numId w:val="3"/>
        </w:numPr>
        <w:tabs>
          <w:tab w:val="left" w:pos="993"/>
        </w:tabs>
        <w:ind w:left="0" w:firstLine="567"/>
        <w:jc w:val="both"/>
        <w:rPr>
          <w:i/>
          <w:iCs/>
          <w:sz w:val="24"/>
          <w:szCs w:val="24"/>
        </w:rPr>
      </w:pPr>
      <w:r w:rsidRPr="002E25F6">
        <w:rPr>
          <w:i/>
          <w:iCs/>
          <w:sz w:val="24"/>
          <w:szCs w:val="24"/>
        </w:rPr>
        <w:t>взаємне вітання;</w:t>
      </w:r>
    </w:p>
    <w:p w:rsidR="008E4C75" w:rsidRPr="002E25F6" w:rsidRDefault="008E4C75" w:rsidP="008E4C75">
      <w:pPr>
        <w:pStyle w:val="a5"/>
        <w:numPr>
          <w:ilvl w:val="0"/>
          <w:numId w:val="3"/>
        </w:numPr>
        <w:tabs>
          <w:tab w:val="left" w:pos="993"/>
        </w:tabs>
        <w:ind w:left="0" w:firstLine="567"/>
        <w:jc w:val="both"/>
        <w:rPr>
          <w:i/>
          <w:iCs/>
          <w:sz w:val="24"/>
          <w:szCs w:val="24"/>
        </w:rPr>
      </w:pPr>
      <w:r w:rsidRPr="002E25F6">
        <w:rPr>
          <w:i/>
          <w:iCs/>
          <w:sz w:val="24"/>
          <w:szCs w:val="24"/>
        </w:rPr>
        <w:t xml:space="preserve"> перевірка наявності слухачів у аудиторії;</w:t>
      </w:r>
    </w:p>
    <w:p w:rsidR="008E4C75" w:rsidRPr="002E25F6" w:rsidRDefault="008E4C75" w:rsidP="008E4C75">
      <w:pPr>
        <w:pStyle w:val="a5"/>
        <w:numPr>
          <w:ilvl w:val="0"/>
          <w:numId w:val="3"/>
        </w:numPr>
        <w:tabs>
          <w:tab w:val="left" w:pos="993"/>
        </w:tabs>
        <w:ind w:left="0" w:firstLine="567"/>
        <w:jc w:val="both"/>
        <w:rPr>
          <w:i/>
          <w:iCs/>
          <w:sz w:val="24"/>
          <w:szCs w:val="24"/>
        </w:rPr>
      </w:pPr>
      <w:r w:rsidRPr="002E25F6">
        <w:rPr>
          <w:i/>
          <w:iCs/>
          <w:sz w:val="24"/>
          <w:szCs w:val="24"/>
        </w:rPr>
        <w:t>організація готовності уваги слухачів до заняття.</w:t>
      </w:r>
    </w:p>
    <w:p w:rsidR="008E4C75" w:rsidRPr="002E25F6" w:rsidRDefault="008E4C75" w:rsidP="008E4C75">
      <w:pPr>
        <w:tabs>
          <w:tab w:val="left" w:pos="0"/>
          <w:tab w:val="left" w:pos="993"/>
        </w:tabs>
        <w:spacing w:after="0" w:line="240" w:lineRule="auto"/>
        <w:ind w:firstLine="567"/>
        <w:jc w:val="both"/>
        <w:rPr>
          <w:rFonts w:ascii="Times New Roman" w:hAnsi="Times New Roman" w:cs="Times New Roman"/>
          <w:b/>
          <w:bCs/>
          <w:sz w:val="24"/>
          <w:szCs w:val="24"/>
          <w:lang w:val="uk-UA"/>
        </w:rPr>
      </w:pPr>
    </w:p>
    <w:p w:rsidR="008E4C75" w:rsidRPr="002E25F6" w:rsidRDefault="008E4C75" w:rsidP="008E4C75">
      <w:pPr>
        <w:pStyle w:val="a5"/>
        <w:numPr>
          <w:ilvl w:val="0"/>
          <w:numId w:val="2"/>
        </w:numPr>
        <w:tabs>
          <w:tab w:val="left" w:pos="0"/>
          <w:tab w:val="left" w:pos="993"/>
        </w:tabs>
        <w:ind w:left="0" w:firstLine="567"/>
        <w:jc w:val="both"/>
        <w:rPr>
          <w:b/>
          <w:bCs/>
          <w:sz w:val="24"/>
          <w:szCs w:val="24"/>
        </w:rPr>
      </w:pPr>
      <w:r w:rsidRPr="002E25F6">
        <w:rPr>
          <w:b/>
          <w:bCs/>
          <w:sz w:val="24"/>
          <w:szCs w:val="24"/>
        </w:rPr>
        <w:t>Пояснення нової теми. Відпрацювання документації. (</w:t>
      </w:r>
      <w:r w:rsidRPr="00485484">
        <w:rPr>
          <w:b/>
          <w:bCs/>
          <w:i/>
          <w:sz w:val="24"/>
          <w:szCs w:val="24"/>
        </w:rPr>
        <w:t>16</w:t>
      </w:r>
      <w:r w:rsidRPr="002E25F6">
        <w:rPr>
          <w:b/>
          <w:bCs/>
          <w:i/>
          <w:sz w:val="24"/>
          <w:szCs w:val="24"/>
        </w:rPr>
        <w:t xml:space="preserve"> хв.</w:t>
      </w:r>
      <w:r w:rsidRPr="002E25F6">
        <w:rPr>
          <w:b/>
          <w:bCs/>
          <w:sz w:val="24"/>
          <w:szCs w:val="24"/>
        </w:rPr>
        <w:t>)</w:t>
      </w:r>
    </w:p>
    <w:p w:rsidR="008E4C75" w:rsidRPr="002E25F6" w:rsidRDefault="008E4C75" w:rsidP="008E4C75">
      <w:pPr>
        <w:spacing w:after="0" w:line="240" w:lineRule="auto"/>
        <w:rPr>
          <w:rFonts w:ascii="Times New Roman" w:hAnsi="Times New Roman" w:cs="Times New Roman"/>
          <w:i/>
          <w:iCs/>
          <w:sz w:val="24"/>
          <w:szCs w:val="24"/>
          <w:lang w:val="uk-UA"/>
        </w:rPr>
      </w:pPr>
      <w:r w:rsidRPr="002E25F6">
        <w:rPr>
          <w:rFonts w:ascii="Times New Roman" w:hAnsi="Times New Roman" w:cs="Times New Roman"/>
          <w:i/>
          <w:iCs/>
          <w:sz w:val="24"/>
          <w:szCs w:val="24"/>
          <w:lang w:val="uk-UA"/>
        </w:rPr>
        <w:t>(Примітка: мінімізація теоретичного матеріалу  шляхом проведення слухачам самостійного відпрацювання документів з питань пожежної безпеки)</w:t>
      </w:r>
    </w:p>
    <w:p w:rsidR="008E4C75" w:rsidRPr="002E25F6" w:rsidRDefault="008E4C75" w:rsidP="008E4C75">
      <w:pPr>
        <w:spacing w:after="0" w:line="240" w:lineRule="auto"/>
        <w:ind w:firstLine="567"/>
        <w:jc w:val="both"/>
        <w:rPr>
          <w:rFonts w:ascii="Times New Roman" w:hAnsi="Times New Roman" w:cs="Times New Roman"/>
          <w:b/>
          <w:i/>
          <w:sz w:val="24"/>
          <w:szCs w:val="24"/>
          <w:lang w:val="uk-UA"/>
        </w:rPr>
      </w:pPr>
    </w:p>
    <w:p w:rsidR="008E4C75" w:rsidRPr="005E538A" w:rsidRDefault="008E4C75" w:rsidP="008E4C75">
      <w:pPr>
        <w:tabs>
          <w:tab w:val="left" w:pos="1276"/>
        </w:tabs>
        <w:spacing w:after="0" w:line="240" w:lineRule="auto"/>
        <w:ind w:firstLine="567"/>
        <w:jc w:val="both"/>
        <w:rPr>
          <w:rFonts w:ascii="Times New Roman" w:hAnsi="Times New Roman" w:cs="Times New Roman"/>
          <w:b/>
          <w:i/>
          <w:sz w:val="24"/>
          <w:szCs w:val="24"/>
          <w:lang w:val="uk-UA"/>
        </w:rPr>
      </w:pPr>
      <w:r w:rsidRPr="005E538A">
        <w:rPr>
          <w:rFonts w:ascii="Times New Roman" w:hAnsi="Times New Roman" w:cs="Times New Roman"/>
          <w:b/>
          <w:i/>
          <w:sz w:val="24"/>
          <w:szCs w:val="24"/>
          <w:lang w:val="uk-UA"/>
        </w:rPr>
        <w:t xml:space="preserve">Питання 1. </w:t>
      </w:r>
      <w:r w:rsidRPr="005E538A">
        <w:rPr>
          <w:rFonts w:ascii="Times New Roman" w:hAnsi="Times New Roman" w:cs="Times New Roman"/>
          <w:b/>
          <w:i/>
          <w:iCs/>
          <w:sz w:val="24"/>
          <w:szCs w:val="24"/>
          <w:lang w:val="uk-UA"/>
        </w:rPr>
        <w:t>Дотримання вимог пожежної безпеки під час проектування, будівництва та реконструкції об’єктів виробничого та іншого призначення..</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r w:rsidRPr="005E538A">
        <w:rPr>
          <w:lang w:val="uk-UA" w:eastAsia="uk-UA"/>
        </w:rPr>
        <w:t>У статті 57 глави 13 Кодексу цивільного захисту України визначено основні вимоги щодо дотримання вимог пожежної безпеки під час проектування, будівництва та реконструкції об’єктів виробничого та іншого призначення.</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 w:name="n874"/>
      <w:bookmarkEnd w:id="1"/>
      <w:r w:rsidRPr="005E538A">
        <w:rPr>
          <w:lang w:val="uk-UA" w:eastAsia="uk-UA"/>
        </w:rPr>
        <w:t>Виробничі, жилі, інші будівлі та споруди, обладнання, транспортні засоби, що вводяться в дію чи експлуатацію після завершення будівництва, реконструкції або технічного переоснащення, а також технологічні процеси та продукція повинні відповідати вимогам нормативно-правових актів з пожежної безпеки.</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2" w:name="n875"/>
      <w:bookmarkEnd w:id="2"/>
      <w:r w:rsidRPr="005E538A">
        <w:rPr>
          <w:lang w:val="uk-UA" w:eastAsia="uk-UA"/>
        </w:rPr>
        <w:t>Початок роботи новоутворених підприємств, початок використання суб’єктом господарювання об’єктів нерухомості (будівель, споруд, приміщень або їх частин) здійснюється суб’єктом господарювання на підставі поданої декларації відповідності матеріально-технічної бази суб’єкта господарювання вимогам законодавства з питань пожежної безпеки (далі - декларація), а для суб’єктів господарювання з високим ступенем ризику - також за наявності позитивного висновку за результатами оцінки (експертизи) протипожежного стану підприємства, об’єкта чи приміщення (далі - оцінка протипожежного стану).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r w:rsidRPr="005E538A">
        <w:rPr>
          <w:lang w:val="uk-UA" w:eastAsia="uk-UA"/>
        </w:rPr>
        <w:t>Оцінка протипожежного стану проводиться суб’єктом господарювання, який одержав відповідну ліцензію.</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3" w:name="n877"/>
      <w:bookmarkEnd w:id="3"/>
      <w:r w:rsidRPr="005E538A">
        <w:rPr>
          <w:lang w:val="uk-UA" w:eastAsia="uk-UA"/>
        </w:rPr>
        <w:t>Висновок за результатами оцінки протипожежного стану оформляється та надається суб’єктом господарювання, який проводив оцінку протипожежного стану.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4" w:name="n878"/>
      <w:bookmarkEnd w:id="4"/>
      <w:r w:rsidRPr="005E538A">
        <w:rPr>
          <w:lang w:val="uk-UA" w:eastAsia="uk-UA"/>
        </w:rPr>
        <w:t>Позитивний висновок за результатами оцінки протипожежного стану надається до початку роботи новоутворених підприємств, до початку використання суб’єктом господарювання об’єктів нерухомості, за відсутності фактів порушення правил пожежної безпеки та діє до реєстрації декларації.</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5" w:name="n879"/>
      <w:bookmarkEnd w:id="5"/>
      <w:r w:rsidRPr="005E538A">
        <w:rPr>
          <w:lang w:val="uk-UA" w:eastAsia="uk-UA"/>
        </w:rPr>
        <w:t>Перелік суб’єктів господарювання з високим ступенем ризику визначається центральним органом виконавчої влади, який здійснює державний нагляд у сферах техногенної та пожежної безпеки, за погодженням із центральним органом виконавчої влади, що реалізує державну регуляторну політику, у сфері дозвільної системи і ліцензування господарської діяльності.</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6" w:name="n880"/>
      <w:bookmarkEnd w:id="6"/>
      <w:r w:rsidRPr="005E538A">
        <w:rPr>
          <w:lang w:val="uk-UA" w:eastAsia="uk-UA"/>
        </w:rPr>
        <w:t>Критерій віднесення суб’єкта господарювання до високого, середнього та незначного ступеня ризику визначається Кабінетом Міністрів України.</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7" w:name="n881"/>
      <w:bookmarkEnd w:id="7"/>
      <w:r w:rsidRPr="005E538A">
        <w:rPr>
          <w:lang w:val="uk-UA" w:eastAsia="uk-UA"/>
        </w:rPr>
        <w:t>Декларація подається суб’єктом господарювання до державного адміністратора або центрального органу виконавчої влади, який здійснює державний нагляд у сфері техногенної та пожежної безпеки (дозвільного органу).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8" w:name="n882"/>
      <w:bookmarkEnd w:id="8"/>
      <w:r w:rsidRPr="005E538A">
        <w:rPr>
          <w:lang w:val="uk-UA" w:eastAsia="uk-UA"/>
        </w:rPr>
        <w:t>Декларація реєструється дозвільним органом на безоплатній основі протягом десяти робочих днів з дня її надходження.</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i/>
          <w:lang w:val="uk-UA" w:eastAsia="uk-UA"/>
        </w:rPr>
      </w:pPr>
      <w:bookmarkStart w:id="9" w:name="n1599"/>
      <w:bookmarkEnd w:id="9"/>
      <w:r w:rsidRPr="005E538A">
        <w:rPr>
          <w:i/>
          <w:lang w:val="uk-UA" w:eastAsia="uk-UA"/>
        </w:rPr>
        <w:t>{Абзац другий частини четвертої статті 57 в редакції Закону </w:t>
      </w:r>
      <w:hyperlink r:id="rId5" w:anchor="n59" w:tgtFrame="_blank" w:history="1">
        <w:r w:rsidRPr="005E538A">
          <w:rPr>
            <w:i/>
            <w:lang w:val="uk-UA" w:eastAsia="uk-UA"/>
          </w:rPr>
          <w:t>№ 353-VII від 20.06.2013</w:t>
        </w:r>
      </w:hyperlink>
      <w:r w:rsidRPr="005E538A">
        <w:rPr>
          <w:i/>
          <w:lang w:val="uk-UA" w:eastAsia="uk-UA"/>
        </w:rPr>
        <w:t>}</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0" w:name="n883"/>
      <w:bookmarkEnd w:id="10"/>
      <w:r w:rsidRPr="005E538A">
        <w:rPr>
          <w:lang w:val="uk-UA" w:eastAsia="uk-UA"/>
        </w:rPr>
        <w:t>Датою надходження декларації вважається дата її реєстрації як вхідної кореспонденції державним адміністратором або дозвільним органом, а в разі надсилання рекомендованим листом - дата, зазначена на поштовому штемпелі підприємства зв’язку.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1" w:name="n884"/>
      <w:bookmarkEnd w:id="11"/>
      <w:r w:rsidRPr="005E538A">
        <w:rPr>
          <w:lang w:val="uk-UA" w:eastAsia="uk-UA"/>
        </w:rPr>
        <w:t>Державний адміністратор протягом одного робочого дня після надходження декларації передає її дозвільному органу.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2" w:name="n885"/>
      <w:bookmarkEnd w:id="12"/>
      <w:r w:rsidRPr="005E538A">
        <w:rPr>
          <w:lang w:val="uk-UA" w:eastAsia="uk-UA"/>
        </w:rPr>
        <w:t>Якщо декларацію подано чи оформлено з порушенням установлених вимог, дозвільний орган відмовляє в реєстрації декларації та повертає її суб’єкту господарювання для доопрацювання.</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3" w:name="n886"/>
      <w:bookmarkEnd w:id="13"/>
      <w:r w:rsidRPr="005E538A">
        <w:rPr>
          <w:lang w:val="uk-UA" w:eastAsia="uk-UA"/>
        </w:rPr>
        <w:t>У разі якщо дозвільним органом не зареєстровано декларацію і не відмовлено в її реєстрації в установлений абзацом другим цієї частини строк, право на вчинення дій щодо провадження господарської діяльності, передбачених частиною другою цієї статті, виникає наступного дня після завершення строку, встановленого для реєстрації декларації. У такому разі декларація вважається зареєстрованою.</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i/>
          <w:lang w:val="uk-UA" w:eastAsia="uk-UA"/>
        </w:rPr>
      </w:pPr>
      <w:bookmarkStart w:id="14" w:name="n1600"/>
      <w:bookmarkEnd w:id="14"/>
      <w:r w:rsidRPr="005E538A">
        <w:rPr>
          <w:i/>
          <w:lang w:val="uk-UA" w:eastAsia="uk-UA"/>
        </w:rPr>
        <w:lastRenderedPageBreak/>
        <w:t>{Абзац шостий частини четвертої статті 57 в редакції Закону </w:t>
      </w:r>
      <w:hyperlink r:id="rId6" w:anchor="n59" w:tgtFrame="_blank" w:history="1">
        <w:r w:rsidRPr="005E538A">
          <w:rPr>
            <w:i/>
            <w:lang w:val="uk-UA" w:eastAsia="uk-UA"/>
          </w:rPr>
          <w:t>№ 353-VII від 20.06.2013</w:t>
        </w:r>
      </w:hyperlink>
      <w:r w:rsidRPr="005E538A">
        <w:rPr>
          <w:i/>
          <w:lang w:val="uk-UA" w:eastAsia="uk-UA"/>
        </w:rPr>
        <w:t>}</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5" w:name="n887"/>
      <w:bookmarkEnd w:id="15"/>
      <w:r w:rsidRPr="005E538A">
        <w:rPr>
          <w:lang w:val="uk-UA" w:eastAsia="uk-UA"/>
        </w:rPr>
        <w:t>Декларація не подається:</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6" w:name="n888"/>
      <w:bookmarkEnd w:id="16"/>
      <w:r w:rsidRPr="005E538A">
        <w:rPr>
          <w:lang w:val="uk-UA" w:eastAsia="uk-UA"/>
        </w:rPr>
        <w:t>1) на використання торговельних місць, кіосків та контейнерів, якщо їх розміщено на ринку відповідно до схеми, погодженої з органом державного пожежного нагляду;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7" w:name="n889"/>
      <w:bookmarkEnd w:id="17"/>
      <w:r w:rsidRPr="005E538A">
        <w:rPr>
          <w:lang w:val="uk-UA" w:eastAsia="uk-UA"/>
        </w:rPr>
        <w:t>2) орендарем об’єкта нерухомості (особою, яка використовує об’єкт нерухомості за цивільно-правовим договором, що не передбачає перехід права власності на цей об’єкт) за умови, що декларацію на об’єкт нерухомості зареєстровано власником;</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18" w:name="n1603"/>
      <w:bookmarkEnd w:id="18"/>
      <w:r w:rsidRPr="005E538A">
        <w:rPr>
          <w:lang w:val="uk-UA" w:eastAsia="uk-UA"/>
        </w:rPr>
        <w:t>3) на використання об’єктів, що в установленому законодавством порядку приймаються в експлуатацію після завершення будівництва, реконструкції, реставрації, капітального ремонту.</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i/>
          <w:lang w:val="uk-UA" w:eastAsia="uk-UA"/>
        </w:rPr>
      </w:pPr>
      <w:bookmarkStart w:id="19" w:name="n1601"/>
      <w:bookmarkEnd w:id="19"/>
      <w:r w:rsidRPr="005E538A">
        <w:rPr>
          <w:i/>
          <w:lang w:val="uk-UA" w:eastAsia="uk-UA"/>
        </w:rPr>
        <w:t>{Частину четверту статті 57 доповнено пунктом 3 згідно із Законом </w:t>
      </w:r>
      <w:hyperlink r:id="rId7" w:anchor="n62" w:tgtFrame="_blank" w:history="1">
        <w:r w:rsidRPr="005E538A">
          <w:rPr>
            <w:i/>
            <w:lang w:val="uk-UA" w:eastAsia="uk-UA"/>
          </w:rPr>
          <w:t>№ 353-VII від 20.06.2013</w:t>
        </w:r>
      </w:hyperlink>
      <w:r w:rsidRPr="005E538A">
        <w:rPr>
          <w:i/>
          <w:lang w:val="uk-UA" w:eastAsia="uk-UA"/>
        </w:rPr>
        <w:t>}</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20" w:name="n890"/>
      <w:bookmarkEnd w:id="20"/>
      <w:r w:rsidRPr="005E538A">
        <w:rPr>
          <w:lang w:val="uk-UA" w:eastAsia="uk-UA"/>
        </w:rPr>
        <w:t>Суб’єкт господарювання набуває право вчиняти дії щодо провадження господарської діяльності, передбачені частиною другою цієї статті, з дня реєстрації декларації відповідним дозвільним органом.</w:t>
      </w:r>
    </w:p>
    <w:bookmarkStart w:id="21" w:name="n891"/>
    <w:bookmarkEnd w:id="21"/>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r w:rsidRPr="005E538A">
        <w:rPr>
          <w:lang w:val="uk-UA" w:eastAsia="uk-UA"/>
        </w:rPr>
        <w:fldChar w:fldCharType="begin"/>
      </w:r>
      <w:r w:rsidRPr="005E538A">
        <w:rPr>
          <w:lang w:val="uk-UA" w:eastAsia="uk-UA"/>
        </w:rPr>
        <w:instrText xml:space="preserve"> HYPERLINK "http://zakon3.rada.gov.ua/laws/show/440-2013-%D0%BF/paran27" \l "n27" \t "_blank" </w:instrText>
      </w:r>
      <w:r w:rsidRPr="005E538A">
        <w:rPr>
          <w:lang w:val="uk-UA" w:eastAsia="uk-UA"/>
        </w:rPr>
        <w:fldChar w:fldCharType="separate"/>
      </w:r>
      <w:r w:rsidRPr="005E538A">
        <w:rPr>
          <w:lang w:val="uk-UA" w:eastAsia="uk-UA"/>
        </w:rPr>
        <w:t>Форма декларації</w:t>
      </w:r>
      <w:r w:rsidRPr="005E538A">
        <w:rPr>
          <w:lang w:val="uk-UA" w:eastAsia="uk-UA"/>
        </w:rPr>
        <w:fldChar w:fldCharType="end"/>
      </w:r>
      <w:r w:rsidRPr="005E538A">
        <w:rPr>
          <w:lang w:val="uk-UA" w:eastAsia="uk-UA"/>
        </w:rPr>
        <w:t>, </w:t>
      </w:r>
      <w:hyperlink r:id="rId8" w:anchor="n10" w:tgtFrame="_blank" w:history="1">
        <w:r w:rsidRPr="005E538A">
          <w:rPr>
            <w:lang w:val="uk-UA" w:eastAsia="uk-UA"/>
          </w:rPr>
          <w:t>порядок</w:t>
        </w:r>
      </w:hyperlink>
      <w:r w:rsidRPr="005E538A">
        <w:rPr>
          <w:lang w:val="uk-UA" w:eastAsia="uk-UA"/>
        </w:rPr>
        <w:t> її подання та реєстрації визначаються Кабінетом Міністрів України.</w:t>
      </w:r>
    </w:p>
    <w:p w:rsidR="008E4C75" w:rsidRPr="005E538A" w:rsidRDefault="008E4C75" w:rsidP="008E4C75">
      <w:pPr>
        <w:pStyle w:val="rvps2"/>
        <w:shd w:val="clear" w:color="auto" w:fill="FFFFFF"/>
        <w:tabs>
          <w:tab w:val="left" w:pos="1276"/>
        </w:tabs>
        <w:spacing w:before="0" w:beforeAutospacing="0" w:after="0" w:afterAutospacing="0"/>
        <w:ind w:firstLine="567"/>
        <w:jc w:val="both"/>
        <w:rPr>
          <w:lang w:val="uk-UA" w:eastAsia="uk-UA"/>
        </w:rPr>
      </w:pPr>
      <w:bookmarkStart w:id="22" w:name="n892"/>
      <w:bookmarkEnd w:id="22"/>
      <w:r w:rsidRPr="005E538A">
        <w:rPr>
          <w:lang w:val="uk-UA" w:eastAsia="uk-UA"/>
        </w:rPr>
        <w:t>Особи, які подали декларацію, несуть передбачену законом відповідальність за достовірність даних, зазначених у поданій декларації.</w:t>
      </w:r>
    </w:p>
    <w:p w:rsidR="008E4C75" w:rsidRPr="002E25F6" w:rsidRDefault="008E4C75" w:rsidP="008E4C75">
      <w:pPr>
        <w:pStyle w:val="a6"/>
        <w:tabs>
          <w:tab w:val="left" w:pos="1276"/>
        </w:tabs>
        <w:spacing w:before="0" w:beforeAutospacing="0" w:after="0" w:afterAutospacing="0"/>
        <w:ind w:firstLine="567"/>
        <w:jc w:val="both"/>
        <w:rPr>
          <w:lang w:eastAsia="ru-RU"/>
        </w:rPr>
      </w:pPr>
    </w:p>
    <w:p w:rsidR="008E4C75" w:rsidRPr="002E25F6" w:rsidRDefault="008E4C75" w:rsidP="008E4C75">
      <w:pPr>
        <w:pStyle w:val="a6"/>
        <w:shd w:val="clear" w:color="auto" w:fill="FFFFFF"/>
        <w:spacing w:before="0" w:beforeAutospacing="0" w:after="0" w:afterAutospacing="0"/>
        <w:ind w:firstLine="567"/>
        <w:textAlignment w:val="top"/>
        <w:rPr>
          <w:rFonts w:eastAsiaTheme="minorEastAsia"/>
          <w:b/>
          <w:lang w:eastAsia="ru-RU" w:bidi="he-IL"/>
        </w:rPr>
      </w:pPr>
      <w:r w:rsidRPr="002E25F6">
        <w:rPr>
          <w:rFonts w:eastAsiaTheme="minorEastAsia"/>
          <w:b/>
          <w:lang w:eastAsia="ru-RU" w:bidi="he-IL"/>
        </w:rPr>
        <w:t>3. Підсумок заняття (</w:t>
      </w:r>
      <w:r w:rsidRPr="002E25F6">
        <w:rPr>
          <w:rFonts w:eastAsiaTheme="minorEastAsia"/>
          <w:b/>
          <w:i/>
          <w:lang w:eastAsia="ru-RU" w:bidi="he-IL"/>
        </w:rPr>
        <w:t>3 хв.)</w:t>
      </w:r>
    </w:p>
    <w:p w:rsidR="008E4C75" w:rsidRPr="002E25F6" w:rsidRDefault="008E4C75" w:rsidP="008E4C75">
      <w:pPr>
        <w:pStyle w:val="a6"/>
        <w:shd w:val="clear" w:color="auto" w:fill="FFFFFF"/>
        <w:spacing w:before="0" w:beforeAutospacing="0" w:after="0" w:afterAutospacing="0"/>
        <w:ind w:firstLine="567"/>
        <w:textAlignment w:val="top"/>
        <w:rPr>
          <w:rFonts w:eastAsiaTheme="minorEastAsia"/>
          <w:lang w:eastAsia="ru-RU" w:bidi="he-IL"/>
        </w:rPr>
      </w:pPr>
      <w:r w:rsidRPr="002E25F6">
        <w:rPr>
          <w:rFonts w:eastAsiaTheme="minorEastAsia"/>
          <w:lang w:eastAsia="ru-RU" w:bidi="he-IL"/>
        </w:rPr>
        <w:t>Викладач нагадує тему, мету, навчальні питання.</w:t>
      </w:r>
    </w:p>
    <w:p w:rsidR="008E4C75" w:rsidRPr="002E25F6" w:rsidRDefault="008E4C75" w:rsidP="008E4C75">
      <w:pPr>
        <w:pStyle w:val="a6"/>
        <w:shd w:val="clear" w:color="auto" w:fill="FFFFFF"/>
        <w:spacing w:before="0" w:beforeAutospacing="0" w:after="0" w:afterAutospacing="0"/>
        <w:ind w:firstLine="567"/>
        <w:textAlignment w:val="top"/>
        <w:rPr>
          <w:rFonts w:eastAsiaTheme="minorEastAsia"/>
          <w:lang w:eastAsia="ru-RU" w:bidi="he-IL"/>
        </w:rPr>
      </w:pPr>
      <w:r w:rsidRPr="002E25F6">
        <w:rPr>
          <w:rFonts w:eastAsiaTheme="minorEastAsia"/>
          <w:lang w:eastAsia="ru-RU" w:bidi="he-IL"/>
        </w:rPr>
        <w:t>Проводить контрольне опитування, виставляє оцінки, відмічає кращі відповіді слухачів.</w:t>
      </w:r>
    </w:p>
    <w:p w:rsidR="008E4C75" w:rsidRPr="002E25F6" w:rsidRDefault="008E4C75" w:rsidP="008E4C75">
      <w:pPr>
        <w:pStyle w:val="a6"/>
        <w:shd w:val="clear" w:color="auto" w:fill="FFFFFF"/>
        <w:spacing w:before="0" w:beforeAutospacing="0" w:after="0" w:afterAutospacing="0"/>
        <w:ind w:firstLine="567"/>
        <w:textAlignment w:val="top"/>
        <w:rPr>
          <w:rFonts w:eastAsiaTheme="minorEastAsia"/>
          <w:lang w:eastAsia="ru-RU" w:bidi="he-IL"/>
        </w:rPr>
      </w:pPr>
      <w:r w:rsidRPr="002E25F6">
        <w:rPr>
          <w:rFonts w:eastAsiaTheme="minorEastAsia"/>
          <w:lang w:eastAsia="ru-RU" w:bidi="he-IL"/>
        </w:rPr>
        <w:t>Дає відповіді на запитання слухачів.</w:t>
      </w:r>
    </w:p>
    <w:p w:rsidR="008E4C75" w:rsidRPr="002E25F6" w:rsidRDefault="008E4C75" w:rsidP="008E4C75">
      <w:pPr>
        <w:pStyle w:val="a6"/>
        <w:shd w:val="clear" w:color="auto" w:fill="FFFFFF"/>
        <w:spacing w:before="0" w:beforeAutospacing="0" w:after="0" w:afterAutospacing="0"/>
        <w:ind w:firstLine="567"/>
        <w:textAlignment w:val="top"/>
        <w:rPr>
          <w:rFonts w:eastAsiaTheme="minorEastAsia"/>
          <w:lang w:eastAsia="ru-RU" w:bidi="he-IL"/>
        </w:rPr>
      </w:pPr>
    </w:p>
    <w:sectPr w:rsidR="008E4C75" w:rsidRPr="002E25F6" w:rsidSect="00A72F3F">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3E55"/>
    <w:multiLevelType w:val="hybridMultilevel"/>
    <w:tmpl w:val="6B74C4E2"/>
    <w:lvl w:ilvl="0" w:tplc="5456C036">
      <w:start w:val="1"/>
      <w:numFmt w:val="decimal"/>
      <w:lvlText w:val="%1."/>
      <w:lvlJc w:val="left"/>
      <w:pPr>
        <w:ind w:left="360" w:hanging="360"/>
      </w:pPr>
      <w:rPr>
        <w:rFonts w:hint="default"/>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1" w15:restartNumberingAfterBreak="0">
    <w:nsid w:val="19103BA6"/>
    <w:multiLevelType w:val="hybridMultilevel"/>
    <w:tmpl w:val="CADE1AE6"/>
    <w:lvl w:ilvl="0" w:tplc="A4529104">
      <w:start w:val="1"/>
      <w:numFmt w:val="decimal"/>
      <w:lvlText w:val="%1)"/>
      <w:lvlJc w:val="left"/>
      <w:pPr>
        <w:ind w:left="3240" w:hanging="360"/>
      </w:pPr>
      <w:rPr>
        <w:rFonts w:hint="default"/>
      </w:r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2" w15:restartNumberingAfterBreak="0">
    <w:nsid w:val="1EC47BFA"/>
    <w:multiLevelType w:val="hybridMultilevel"/>
    <w:tmpl w:val="36E68A0C"/>
    <w:lvl w:ilvl="0" w:tplc="222A0758">
      <w:start w:val="1"/>
      <w:numFmt w:val="decimal"/>
      <w:lvlText w:val="%1."/>
      <w:lvlJc w:val="left"/>
      <w:pPr>
        <w:ind w:left="1070" w:hanging="360"/>
      </w:pPr>
      <w:rPr>
        <w:rFonts w:hint="default"/>
      </w:r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3" w15:restartNumberingAfterBreak="0">
    <w:nsid w:val="25206E0B"/>
    <w:multiLevelType w:val="hybridMultilevel"/>
    <w:tmpl w:val="17E2A56A"/>
    <w:lvl w:ilvl="0" w:tplc="79C88C34">
      <w:start w:val="1"/>
      <w:numFmt w:val="decimal"/>
      <w:lvlText w:val="%1)"/>
      <w:lvlJc w:val="left"/>
      <w:pPr>
        <w:ind w:left="644" w:hanging="360"/>
      </w:pPr>
      <w:rPr>
        <w:rFonts w:hint="default"/>
      </w:rPr>
    </w:lvl>
    <w:lvl w:ilvl="1" w:tplc="04220019">
      <w:start w:val="1"/>
      <w:numFmt w:val="lowerLetter"/>
      <w:lvlText w:val="%2."/>
      <w:lvlJc w:val="left"/>
      <w:pPr>
        <w:ind w:left="1364" w:hanging="360"/>
      </w:pPr>
    </w:lvl>
    <w:lvl w:ilvl="2" w:tplc="0422001B">
      <w:start w:val="1"/>
      <w:numFmt w:val="lowerRoman"/>
      <w:lvlText w:val="%3."/>
      <w:lvlJc w:val="right"/>
      <w:pPr>
        <w:ind w:left="2084" w:hanging="180"/>
      </w:pPr>
    </w:lvl>
    <w:lvl w:ilvl="3" w:tplc="0422000F">
      <w:start w:val="1"/>
      <w:numFmt w:val="decimal"/>
      <w:lvlText w:val="%4."/>
      <w:lvlJc w:val="left"/>
      <w:pPr>
        <w:ind w:left="2804" w:hanging="360"/>
      </w:pPr>
    </w:lvl>
    <w:lvl w:ilvl="4" w:tplc="04220019">
      <w:start w:val="1"/>
      <w:numFmt w:val="lowerLetter"/>
      <w:lvlText w:val="%5."/>
      <w:lvlJc w:val="left"/>
      <w:pPr>
        <w:ind w:left="3524" w:hanging="360"/>
      </w:pPr>
    </w:lvl>
    <w:lvl w:ilvl="5" w:tplc="0422001B">
      <w:start w:val="1"/>
      <w:numFmt w:val="lowerRoman"/>
      <w:lvlText w:val="%6."/>
      <w:lvlJc w:val="right"/>
      <w:pPr>
        <w:ind w:left="4244" w:hanging="180"/>
      </w:pPr>
    </w:lvl>
    <w:lvl w:ilvl="6" w:tplc="0422000F">
      <w:start w:val="1"/>
      <w:numFmt w:val="decimal"/>
      <w:lvlText w:val="%7."/>
      <w:lvlJc w:val="left"/>
      <w:pPr>
        <w:ind w:left="4964" w:hanging="360"/>
      </w:pPr>
    </w:lvl>
    <w:lvl w:ilvl="7" w:tplc="04220019">
      <w:start w:val="1"/>
      <w:numFmt w:val="lowerLetter"/>
      <w:lvlText w:val="%8."/>
      <w:lvlJc w:val="left"/>
      <w:pPr>
        <w:ind w:left="5684" w:hanging="360"/>
      </w:pPr>
    </w:lvl>
    <w:lvl w:ilvl="8" w:tplc="0422001B">
      <w:start w:val="1"/>
      <w:numFmt w:val="lowerRoman"/>
      <w:lvlText w:val="%9."/>
      <w:lvlJc w:val="right"/>
      <w:pPr>
        <w:ind w:left="6404" w:hanging="180"/>
      </w:pPr>
    </w:lvl>
  </w:abstractNum>
  <w:abstractNum w:abstractNumId="4" w15:restartNumberingAfterBreak="0">
    <w:nsid w:val="3F475362"/>
    <w:multiLevelType w:val="hybridMultilevel"/>
    <w:tmpl w:val="1D1040FC"/>
    <w:lvl w:ilvl="0" w:tplc="0419000F">
      <w:start w:val="1"/>
      <w:numFmt w:val="decimal"/>
      <w:lvlText w:val="%1."/>
      <w:lvlJc w:val="left"/>
      <w:pPr>
        <w:tabs>
          <w:tab w:val="num" w:pos="786"/>
        </w:tabs>
        <w:ind w:left="786" w:hanging="360"/>
      </w:pPr>
    </w:lvl>
    <w:lvl w:ilvl="1" w:tplc="04190019">
      <w:start w:val="1"/>
      <w:numFmt w:val="lowerLetter"/>
      <w:lvlText w:val="%2."/>
      <w:lvlJc w:val="left"/>
      <w:pPr>
        <w:tabs>
          <w:tab w:val="num" w:pos="1506"/>
        </w:tabs>
        <w:ind w:left="1506" w:hanging="360"/>
      </w:pPr>
    </w:lvl>
    <w:lvl w:ilvl="2" w:tplc="0419001B">
      <w:start w:val="1"/>
      <w:numFmt w:val="lowerRoman"/>
      <w:lvlText w:val="%3."/>
      <w:lvlJc w:val="right"/>
      <w:pPr>
        <w:tabs>
          <w:tab w:val="num" w:pos="2226"/>
        </w:tabs>
        <w:ind w:left="2226" w:hanging="180"/>
      </w:pPr>
    </w:lvl>
    <w:lvl w:ilvl="3" w:tplc="0419000F">
      <w:start w:val="1"/>
      <w:numFmt w:val="decimal"/>
      <w:lvlText w:val="%4."/>
      <w:lvlJc w:val="left"/>
      <w:pPr>
        <w:tabs>
          <w:tab w:val="num" w:pos="2946"/>
        </w:tabs>
        <w:ind w:left="2946" w:hanging="360"/>
      </w:pPr>
    </w:lvl>
    <w:lvl w:ilvl="4" w:tplc="04190019">
      <w:start w:val="1"/>
      <w:numFmt w:val="lowerLetter"/>
      <w:lvlText w:val="%5."/>
      <w:lvlJc w:val="left"/>
      <w:pPr>
        <w:tabs>
          <w:tab w:val="num" w:pos="3666"/>
        </w:tabs>
        <w:ind w:left="3666" w:hanging="360"/>
      </w:pPr>
    </w:lvl>
    <w:lvl w:ilvl="5" w:tplc="0419001B">
      <w:start w:val="1"/>
      <w:numFmt w:val="lowerRoman"/>
      <w:lvlText w:val="%6."/>
      <w:lvlJc w:val="right"/>
      <w:pPr>
        <w:tabs>
          <w:tab w:val="num" w:pos="4386"/>
        </w:tabs>
        <w:ind w:left="4386" w:hanging="180"/>
      </w:pPr>
    </w:lvl>
    <w:lvl w:ilvl="6" w:tplc="0419000F">
      <w:start w:val="1"/>
      <w:numFmt w:val="decimal"/>
      <w:lvlText w:val="%7."/>
      <w:lvlJc w:val="left"/>
      <w:pPr>
        <w:tabs>
          <w:tab w:val="num" w:pos="5106"/>
        </w:tabs>
        <w:ind w:left="5106" w:hanging="360"/>
      </w:pPr>
    </w:lvl>
    <w:lvl w:ilvl="7" w:tplc="04190019">
      <w:start w:val="1"/>
      <w:numFmt w:val="lowerLetter"/>
      <w:lvlText w:val="%8."/>
      <w:lvlJc w:val="left"/>
      <w:pPr>
        <w:tabs>
          <w:tab w:val="num" w:pos="5826"/>
        </w:tabs>
        <w:ind w:left="5826" w:hanging="360"/>
      </w:pPr>
    </w:lvl>
    <w:lvl w:ilvl="8" w:tplc="0419001B">
      <w:start w:val="1"/>
      <w:numFmt w:val="lowerRoman"/>
      <w:lvlText w:val="%9."/>
      <w:lvlJc w:val="right"/>
      <w:pPr>
        <w:tabs>
          <w:tab w:val="num" w:pos="6546"/>
        </w:tabs>
        <w:ind w:left="6546" w:hanging="180"/>
      </w:pPr>
    </w:lvl>
  </w:abstractNum>
  <w:abstractNum w:abstractNumId="5" w15:restartNumberingAfterBreak="0">
    <w:nsid w:val="53DF5CD2"/>
    <w:multiLevelType w:val="hybridMultilevel"/>
    <w:tmpl w:val="41000B12"/>
    <w:lvl w:ilvl="0" w:tplc="4E0EC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75"/>
    <w:rsid w:val="008E4C75"/>
    <w:rsid w:val="00EB1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DDAE"/>
  <w15:chartTrackingRefBased/>
  <w15:docId w15:val="{DBA03572-C95E-4CFD-AD15-AA80660B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C75"/>
    <w:pPr>
      <w:spacing w:after="200" w:line="276" w:lineRule="auto"/>
    </w:pPr>
    <w:rPr>
      <w:rFonts w:eastAsiaTheme="minorEastAsia"/>
      <w:lang w:eastAsia="ru-RU"/>
    </w:rPr>
  </w:style>
  <w:style w:type="paragraph" w:styleId="2">
    <w:name w:val="heading 2"/>
    <w:basedOn w:val="a"/>
    <w:next w:val="a"/>
    <w:link w:val="20"/>
    <w:uiPriority w:val="99"/>
    <w:qFormat/>
    <w:rsid w:val="008E4C75"/>
    <w:pPr>
      <w:keepNext/>
      <w:spacing w:before="240" w:after="60" w:line="240" w:lineRule="auto"/>
      <w:outlineLvl w:val="1"/>
    </w:pPr>
    <w:rPr>
      <w:rFonts w:ascii="Arial" w:eastAsia="Times New Roman" w:hAnsi="Arial" w:cs="Arial"/>
      <w:b/>
      <w:bCs/>
      <w:i/>
      <w:iCs/>
      <w:sz w:val="28"/>
      <w:szCs w:val="28"/>
      <w:lang w:val="uk-UA"/>
    </w:rPr>
  </w:style>
  <w:style w:type="paragraph" w:styleId="5">
    <w:name w:val="heading 5"/>
    <w:basedOn w:val="a"/>
    <w:next w:val="a"/>
    <w:link w:val="50"/>
    <w:uiPriority w:val="99"/>
    <w:qFormat/>
    <w:rsid w:val="008E4C75"/>
    <w:pPr>
      <w:spacing w:before="240" w:after="60" w:line="240" w:lineRule="auto"/>
      <w:outlineLvl w:val="4"/>
    </w:pPr>
    <w:rPr>
      <w:rFonts w:ascii="Times New Roman" w:eastAsia="Times New Roman" w:hAnsi="Times New Roman" w:cs="Times New Roman"/>
      <w:b/>
      <w:bCs/>
      <w:i/>
      <w:iCs/>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8E4C75"/>
    <w:rPr>
      <w:rFonts w:ascii="Arial" w:eastAsia="Times New Roman" w:hAnsi="Arial" w:cs="Arial"/>
      <w:b/>
      <w:bCs/>
      <w:i/>
      <w:iCs/>
      <w:sz w:val="28"/>
      <w:szCs w:val="28"/>
      <w:lang w:val="uk-UA" w:eastAsia="ru-RU"/>
    </w:rPr>
  </w:style>
  <w:style w:type="character" w:customStyle="1" w:styleId="50">
    <w:name w:val="Заголовок 5 Знак"/>
    <w:basedOn w:val="a0"/>
    <w:link w:val="5"/>
    <w:uiPriority w:val="99"/>
    <w:rsid w:val="008E4C75"/>
    <w:rPr>
      <w:rFonts w:ascii="Times New Roman" w:eastAsia="Times New Roman" w:hAnsi="Times New Roman" w:cs="Times New Roman"/>
      <w:b/>
      <w:bCs/>
      <w:i/>
      <w:iCs/>
      <w:sz w:val="26"/>
      <w:szCs w:val="26"/>
      <w:lang w:val="uk-UA" w:eastAsia="ru-RU"/>
    </w:rPr>
  </w:style>
  <w:style w:type="paragraph" w:styleId="a3">
    <w:name w:val="Body Text Indent"/>
    <w:basedOn w:val="a"/>
    <w:link w:val="a4"/>
    <w:uiPriority w:val="99"/>
    <w:rsid w:val="008E4C75"/>
    <w:pPr>
      <w:spacing w:after="0" w:line="240" w:lineRule="auto"/>
      <w:ind w:left="360"/>
    </w:pPr>
    <w:rPr>
      <w:rFonts w:ascii="Times New Roman" w:eastAsia="Times New Roman" w:hAnsi="Times New Roman" w:cs="Times New Roman"/>
      <w:sz w:val="24"/>
      <w:szCs w:val="24"/>
      <w:lang w:val="uk-UA"/>
    </w:rPr>
  </w:style>
  <w:style w:type="character" w:customStyle="1" w:styleId="a4">
    <w:name w:val="Основной текст с отступом Знак"/>
    <w:basedOn w:val="a0"/>
    <w:link w:val="a3"/>
    <w:uiPriority w:val="99"/>
    <w:rsid w:val="008E4C75"/>
    <w:rPr>
      <w:rFonts w:ascii="Times New Roman" w:eastAsia="Times New Roman" w:hAnsi="Times New Roman" w:cs="Times New Roman"/>
      <w:sz w:val="24"/>
      <w:szCs w:val="24"/>
      <w:lang w:val="uk-UA" w:eastAsia="ru-RU"/>
    </w:rPr>
  </w:style>
  <w:style w:type="paragraph" w:styleId="a5">
    <w:name w:val="List Paragraph"/>
    <w:basedOn w:val="a"/>
    <w:uiPriority w:val="99"/>
    <w:qFormat/>
    <w:rsid w:val="008E4C75"/>
    <w:pPr>
      <w:spacing w:after="0" w:line="240" w:lineRule="auto"/>
      <w:ind w:left="720"/>
    </w:pPr>
    <w:rPr>
      <w:rFonts w:ascii="Times New Roman" w:eastAsia="Times New Roman" w:hAnsi="Times New Roman" w:cs="Times New Roman"/>
      <w:sz w:val="28"/>
      <w:szCs w:val="28"/>
      <w:lang w:val="uk-UA" w:eastAsia="en-US"/>
    </w:rPr>
  </w:style>
  <w:style w:type="paragraph" w:styleId="a6">
    <w:name w:val="Normal (Web)"/>
    <w:basedOn w:val="a"/>
    <w:uiPriority w:val="99"/>
    <w:unhideWhenUsed/>
    <w:rsid w:val="008E4C75"/>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rvps2">
    <w:name w:val="rvps2"/>
    <w:basedOn w:val="a"/>
    <w:rsid w:val="008E4C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3.rada.gov.ua/laws/show/440-2013-%D0%BF/paran10" TargetMode="External"/><Relationship Id="rId3" Type="http://schemas.openxmlformats.org/officeDocument/2006/relationships/settings" Target="settings.xml"/><Relationship Id="rId7" Type="http://schemas.openxmlformats.org/officeDocument/2006/relationships/hyperlink" Target="http://zakon3.rada.gov.ua/laws/show/353-18/paran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zakon3.rada.gov.ua/laws/show/353-18/paran59" TargetMode="External"/><Relationship Id="rId5" Type="http://schemas.openxmlformats.org/officeDocument/2006/relationships/hyperlink" Target="http://zakon3.rada.gov.ua/laws/show/353-18/paran5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1139</Words>
  <Characters>6498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Алексадр</dc:creator>
  <cp:keywords/>
  <dc:description/>
  <cp:lastModifiedBy>Алексадр</cp:lastModifiedBy>
  <cp:revision>1</cp:revision>
  <dcterms:created xsi:type="dcterms:W3CDTF">2021-05-28T05:22:00Z</dcterms:created>
  <dcterms:modified xsi:type="dcterms:W3CDTF">2021-05-28T05:23:00Z</dcterms:modified>
</cp:coreProperties>
</file>