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pStyle w:val="Kicker"/>
      </w:pPr>
      <w:r>
        <w:rPr>
          <w:rFonts w:ascii="Calibri" w:hAnsi="Calibri" w:eastAsia="Noto Sans SC"/>
          <w:b/>
          <w:color w:val="B9822F"/>
          <w:sz w:val="20"/>
        </w:rPr>
        <w:t>TENCENT ‘AGE WELL’ SOCIAL GOOD CHALLENGE • SINGAPORE FINALIST</w:t>
      </w:r>
    </w:p>
    <w:p>
      <w:pPr>
        <w:pStyle w:val="Title"/>
      </w:pPr>
      <w:r>
        <w:rPr>
          <w:rFonts w:ascii="Noto Serif SC" w:hAnsi="Noto Serif SC" w:eastAsia="Noto Sans SC"/>
          <w:b/>
          <w:color w:val="5F241C"/>
          <w:sz w:val="56"/>
        </w:rPr>
        <w:t>舞伴 (Wǔbàn)</w:t>
        <w:br/>
        <w:t>Finalist Pitch Playbook</w:t>
      </w:r>
    </w:p>
    <w:p>
      <w:pPr>
        <w:pStyle w:val="Subtitle"/>
      </w:pPr>
      <w:r>
        <w:rPr>
          <w:rFonts w:ascii="Calibri" w:hAnsi="Calibri" w:eastAsia="Noto Sans SC"/>
          <w:i/>
          <w:color w:val="6E6662"/>
          <w:sz w:val="27"/>
        </w:rPr>
        <w:t>A demo-first 10-minute strategy grounded in the current DanceBros codebase</w:t>
      </w:r>
    </w:p>
    <w:p>
      <w:pPr>
        <w:spacing w:after="520"/>
        <w:ind w:left="720" w:right="720"/>
        <w:jc w:val="center"/>
      </w:pPr>
      <w:r>
        <w:rPr>
          <w:rFonts w:ascii="Noto Serif SC" w:hAnsi="Noto Serif SC" w:eastAsia="Noto Sans SC"/>
          <w:i/>
          <w:color w:val="5F241C"/>
          <w:sz w:val="28"/>
        </w:rPr>
        <w:t>“Make maintaining physical and cognitive wellbeing feel like joining a dance, not taking a test.”</w:t>
      </w:r>
    </w:p>
    <w:p>
      <w:pPr>
        <w:spacing w:after="360"/>
        <w:jc w:val="center"/>
      </w:pPr>
      <w:r>
        <w:rPr>
          <w:rFonts w:ascii="Calibri" w:hAnsi="Calibri" w:eastAsia="Noto Sans SC"/>
          <w:b/>
          <w:color w:val="6E6662"/>
          <w:sz w:val="19"/>
        </w:rPr>
        <w:t>Prepared 12 August 2026  |  Public community listing: Singapore Demo Day, 16 August 2026</w:t>
      </w:r>
    </w:p>
    <w:p>
      <w:pPr>
        <w:spacing w:before="80" w:after="180" w:line="283" w:lineRule="auto"/>
        <w:ind w:left="187" w:right="115"/>
        <w:shd w:fill="FAF3E6"/>
        <w:pBdr>
          <w:left w:val="single" w:sz="14" w:space="8" w:color="B9822F"/>
        </w:pBdr>
      </w:pPr>
      <w:r>
        <w:rPr>
          <w:rFonts w:ascii="Calibri" w:hAnsi="Calibri" w:eastAsia="Noto Sans SC"/>
          <w:b/>
          <w:color w:val="5F241C"/>
          <w:sz w:val="21"/>
        </w:rPr>
        <w:t xml:space="preserve">Winning thesis: </w:t>
      </w:r>
      <w:r>
        <w:rPr>
          <w:rFonts w:ascii="Calibri" w:hAnsi="Calibri" w:eastAsia="Noto Sans SC"/>
          <w:color w:val="2A2422"/>
          <w:sz w:val="21"/>
        </w:rPr>
        <w:t>舞伴 is a joyful, touch-free rhythm game for adults aged 60–75. On-device AI turns body or hand movement into game input; transparent rules keep feedback explainable; consented, derived summaries show a personal movement-and-attention pattern without claiming diagnosis.</w:t>
      </w:r>
    </w:p>
    <w:p>
      <w:pPr>
        <w:jc w:val="center"/>
      </w:pPr>
      <w:r>
        <w:rPr>
          <w:rFonts w:ascii="Calibri" w:hAnsi="Calibri" w:eastAsia="Noto Sans SC"/>
          <w:i/>
          <w:color w:val="6E6662"/>
          <w:sz w:val="18"/>
        </w:rPr>
        <w:t>Use this as a speaking and Q&amp;A guide. Replace no evidence with adjectives.</w:t>
      </w:r>
    </w:p>
    <w:p>
      <w:r>
        <w:br w:type="page"/>
      </w:r>
    </w:p>
    <w:p>
      <w:pPr>
        <w:pStyle w:val="Heading1"/>
      </w:pPr>
      <w:r>
        <w:t>1. Executive verdict</w:t>
      </w:r>
    </w:p>
    <w:p>
      <w:pPr>
        <w:spacing w:before="80" w:after="180" w:line="283" w:lineRule="auto"/>
        <w:ind w:left="187" w:right="115"/>
        <w:shd w:fill="EDF4EE"/>
        <w:pBdr>
          <w:left w:val="single" w:sz="14" w:space="8" w:color="5A805E"/>
        </w:pBdr>
      </w:pPr>
      <w:r>
        <w:rPr>
          <w:rFonts w:ascii="Calibri" w:hAnsi="Calibri" w:eastAsia="Noto Sans SC"/>
          <w:b/>
          <w:color w:val="5F241C"/>
          <w:sz w:val="21"/>
        </w:rPr>
        <w:t xml:space="preserve">Recommendation: </w:t>
      </w:r>
      <w:r>
        <w:rPr>
          <w:rFonts w:ascii="Calibri" w:hAnsi="Calibri" w:eastAsia="Noto Sans SC"/>
          <w:color w:val="2A2422"/>
          <w:sz w:val="21"/>
        </w:rPr>
        <w:t>Pitch one end-to-end story: familiar dance becomes controller-free play; local AI makes movement visible; the game remains enjoyable even without the trend layer; only clear, consented sessions contribute to a non-diagnostic personal pattern.</w:t>
      </w:r>
    </w:p>
    <w:p>
      <w:pPr>
        <w:pStyle w:val="Heading2"/>
      </w:pPr>
      <w:r>
        <w:t>The three reasons this can win</w:t>
      </w:r>
    </w:p>
    <w:p>
      <w:pPr>
        <w:numPr>
          <w:ilvl w:val="0"/>
          <w:numId w:val="11"/>
        </w:numPr>
        <w:spacing w:after="80" w:line="300" w:lineRule="auto"/>
      </w:pPr>
      <w:r>
        <w:rPr>
          <w:rFonts w:ascii="Calibri" w:hAnsi="Calibri" w:eastAsia="Noto Sans SC"/>
          <w:color w:val="2A2422"/>
          <w:sz w:val="21"/>
        </w:rPr>
        <w:t>Visible, necessary AI. Judges can see pose or hand-landmark perception turning natural movement into input. Without AI, the player would need a controller or human observer.</w:t>
      </w:r>
    </w:p>
    <w:p>
      <w:pPr>
        <w:numPr>
          <w:ilvl w:val="0"/>
          <w:numId w:val="11"/>
        </w:numPr>
        <w:spacing w:after="80" w:line="300" w:lineRule="auto"/>
      </w:pPr>
      <w:r>
        <w:rPr>
          <w:rFonts w:ascii="Calibri" w:hAnsi="Calibri" w:eastAsia="Noto Sans SC"/>
          <w:color w:val="2A2422"/>
          <w:sz w:val="21"/>
        </w:rPr>
        <w:t>Trust is product architecture. Raw webcam frames stay in memory and are discarded; ambiguous input becomes unscoreable; simulated history stays labelled; sharing is separate and revocable.</w:t>
      </w:r>
    </w:p>
    <w:p>
      <w:pPr>
        <w:numPr>
          <w:ilvl w:val="0"/>
          <w:numId w:val="11"/>
        </w:numPr>
        <w:spacing w:after="80" w:line="300" w:lineRule="auto"/>
      </w:pPr>
      <w:r>
        <w:rPr>
          <w:rFonts w:ascii="Calibri" w:hAnsi="Calibri" w:eastAsia="Noto Sans SC"/>
          <w:color w:val="2A2422"/>
          <w:sz w:val="21"/>
        </w:rPr>
        <w:t>A concrete Singapore path. Age Well SG prioritises active, connected ageing in the community; Singapore already has 223 Active Ageing Centres, while four Age Well Neighbourhoods are expected to benefit more than 110,000 seniors.[S4][S5]</w:t>
      </w:r>
    </w:p>
    <w:p>
      <w:pPr>
        <w:pStyle w:val="Heading2"/>
      </w:pPr>
      <w:r>
        <w:t>The story in one sentence</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舞伴 turns a familiar dance into a touch-free game and a voluntary personal movement-and-attention pattern, so older adults can enjoy staying active and—only with consent—give a trusted supporter a reason for a friendly check-in, not a medical alert.</w:t>
      </w:r>
    </w:p>
    <w:p>
      <w:pPr>
        <w:pStyle w:val="Heading2"/>
      </w:pPr>
      <w:r>
        <w:t>The single biggest score risk</w:t>
      </w:r>
    </w:p>
    <w:p>
      <w:r>
        <w:rPr>
          <w:rFonts w:ascii="Calibri" w:hAnsi="Calibri" w:eastAsia="Noto Sans SC"/>
          <w:color w:val="2A2422"/>
        </w:rPr>
        <w:t>The repository records a strong local vertical slice, but the official competition materials weight AI-tool use most heavily. Final Miora assets and CodeBuddy owner-account evidence are still recorded as open, while WorkBuddy belongs to the Agent track rather than this Game Development track.[R2][S1] Do not improvise a WorkBuddy story; capture real CodeBuddy/Miora evidence or omit the claim.</w:t>
      </w:r>
    </w:p>
    <w:p>
      <w:pPr>
        <w:spacing w:before="80" w:after="180" w:line="283" w:lineRule="auto"/>
        <w:ind w:left="187" w:right="115"/>
        <w:shd w:fill="F7EDEA"/>
        <w:pBdr>
          <w:left w:val="single" w:sz="14" w:space="8" w:color="9B1C1C"/>
        </w:pBdr>
      </w:pPr>
      <w:r>
        <w:rPr>
          <w:rFonts w:ascii="Calibri" w:hAnsi="Calibri" w:eastAsia="Noto Sans SC"/>
          <w:b/>
          <w:color w:val="5F241C"/>
          <w:sz w:val="21"/>
        </w:rPr>
        <w:t xml:space="preserve">Do not claim: </w:t>
      </w:r>
      <w:r>
        <w:rPr>
          <w:rFonts w:ascii="Calibri" w:hAnsi="Calibri" w:eastAsia="Noto Sans SC"/>
          <w:color w:val="2A2422"/>
          <w:sz w:val="21"/>
        </w:rPr>
        <w:t>clinical detection; validated biomarkers; completed older-adult adoption evidence; final Miora provenance; a successful external WeChat send; representative real-camera accuracy; or an all-green current test suite unless each becomes true before Demo Day.</w:t>
      </w:r>
    </w:p>
    <w:p>
      <w:pPr>
        <w:pStyle w:val="Heading1"/>
      </w:pPr>
      <w:r>
        <w:t>2. What we actually know about the competition</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2600"/>
        <w:gridCol w:w="4800"/>
        <w:gridCol w:w="1960"/>
      </w:tblGrid>
      <w:tr>
        <w:trPr>
          <w:tblHeader w:val="true"/>
        </w:trPr>
        <w:tc>
          <w:tcPr>
            <w:tcW w:type="dxa" w:w="2600"/>
            <w:vAlign w:val="center"/>
            <w:tcMar>
              <w:top w:w="80" w:type="dxa"/>
              <w:start w:w="120" w:type="dxa"/>
              <w:bottom w:w="80" w:type="dxa"/>
              <w:end w:w="120" w:type="dxa"/>
            </w:tcMar>
            <w:shd w:fill="F7EDEA"/>
          </w:tcPr>
          <w:p>
            <w:pPr>
              <w:pStyle w:val="TableText"/>
              <w:spacing w:after="0"/>
              <w:jc w:val="center"/>
            </w:pPr>
            <w:r>
              <w:rPr>
                <w:rFonts w:ascii="Calibri" w:hAnsi="Calibri" w:eastAsia="Noto Sans SC"/>
                <w:b/>
                <w:color w:val="5F241C"/>
                <w:sz w:val="18"/>
              </w:rPr>
              <w:t>Known</w:t>
            </w:r>
          </w:p>
        </w:tc>
        <w:tc>
          <w:tcPr>
            <w:tcW w:type="dxa" w:w="4800"/>
            <w:vAlign w:val="center"/>
            <w:tcMar>
              <w:top w:w="80" w:type="dxa"/>
              <w:start w:w="120" w:type="dxa"/>
              <w:bottom w:w="80" w:type="dxa"/>
              <w:end w:w="120" w:type="dxa"/>
            </w:tcMar>
            <w:shd w:fill="F7EDEA"/>
          </w:tcPr>
          <w:p>
            <w:pPr>
              <w:pStyle w:val="TableText"/>
              <w:spacing w:after="0"/>
              <w:jc w:val="center"/>
            </w:pPr>
            <w:r>
              <w:rPr>
                <w:rFonts w:ascii="Calibri" w:hAnsi="Calibri" w:eastAsia="Noto Sans SC"/>
                <w:b/>
                <w:color w:val="5F241C"/>
                <w:sz w:val="18"/>
              </w:rPr>
              <w:t>What it means for your pitch</w:t>
            </w:r>
          </w:p>
        </w:tc>
        <w:tc>
          <w:tcPr>
            <w:tcW w:type="dxa" w:w="1960"/>
            <w:vAlign w:val="center"/>
            <w:tcMar>
              <w:top w:w="80" w:type="dxa"/>
              <w:start w:w="120" w:type="dxa"/>
              <w:bottom w:w="80" w:type="dxa"/>
              <w:end w:w="120" w:type="dxa"/>
            </w:tcMar>
            <w:shd w:fill="F7EDEA"/>
          </w:tcPr>
          <w:p>
            <w:pPr>
              <w:pStyle w:val="TableText"/>
              <w:spacing w:after="0"/>
              <w:jc w:val="center"/>
            </w:pPr>
            <w:r>
              <w:rPr>
                <w:rFonts w:ascii="Calibri" w:hAnsi="Calibri" w:eastAsia="Noto Sans SC"/>
                <w:b/>
                <w:color w:val="5F241C"/>
                <w:sz w:val="18"/>
              </w:rPr>
              <w:t>Confidence</w:t>
            </w:r>
          </w:p>
        </w:tc>
      </w:tr>
      <w:tr>
        <w:tc>
          <w:tcPr>
            <w:tcW w:type="dxa" w:w="2600"/>
          </w:tcPr>
          <w:p>
            <w:pPr>
              <w:pStyle w:val="TableText"/>
              <w:spacing w:after="0"/>
              <w:jc w:val="left"/>
            </w:pPr>
            <w:r>
              <w:rPr>
                <w:rFonts w:ascii="Calibri" w:hAnsi="Calibri" w:eastAsia="Noto Sans SC"/>
                <w:b w:val="0"/>
                <w:color w:val="2A2422"/>
                <w:sz w:val="17"/>
              </w:rPr>
              <w:t>Game Development asks for AI-powered games that support healthy and meaningful ageing; CodeBuddy and Miora are the recommended tools.</w:t>
            </w:r>
          </w:p>
        </w:tc>
        <w:tc>
          <w:tcPr>
            <w:tcW w:type="dxa" w:w="4800"/>
          </w:tcPr>
          <w:p>
            <w:pPr>
              <w:pStyle w:val="TableText"/>
              <w:spacing w:after="0"/>
              <w:jc w:val="left"/>
            </w:pPr>
            <w:r>
              <w:rPr>
                <w:rFonts w:ascii="Calibri" w:hAnsi="Calibri" w:eastAsia="Noto Sans SC"/>
                <w:b w:val="0"/>
                <w:color w:val="2A2422"/>
                <w:sz w:val="17"/>
              </w:rPr>
              <w:t>Show a working game first. Make both runtime AI and the genuine build/creative trail visible.</w:t>
            </w:r>
          </w:p>
        </w:tc>
        <w:tc>
          <w:tcPr>
            <w:tcW w:type="dxa" w:w="1960"/>
          </w:tcPr>
          <w:p>
            <w:pPr>
              <w:pStyle w:val="TableText"/>
              <w:spacing w:after="0"/>
              <w:jc w:val="left"/>
            </w:pPr>
            <w:r>
              <w:rPr>
                <w:rFonts w:ascii="Calibri" w:hAnsi="Calibri" w:eastAsia="Noto Sans SC"/>
                <w:b w:val="0"/>
                <w:color w:val="2A2422"/>
                <w:sz w:val="17"/>
              </w:rPr>
              <w:t>Public event listing</w:t>
            </w:r>
          </w:p>
        </w:tc>
      </w:tr>
      <w:tr>
        <w:tc>
          <w:tcPr>
            <w:tcW w:type="dxa" w:w="2600"/>
          </w:tcPr>
          <w:p>
            <w:pPr>
              <w:pStyle w:val="TableText"/>
              <w:spacing w:after="0"/>
              <w:jc w:val="left"/>
            </w:pPr>
            <w:r>
              <w:rPr>
                <w:rFonts w:ascii="Calibri" w:hAnsi="Calibri" w:eastAsia="Noto Sans SC"/>
                <w:b w:val="0"/>
                <w:color w:val="2A2422"/>
                <w:sz w:val="17"/>
              </w:rPr>
              <w:t>The community event page lists Singapore Demo Day on 16 Aug 2026 and a sponsored Shenzhen path for qualifying teams.</w:t>
            </w:r>
          </w:p>
        </w:tc>
        <w:tc>
          <w:tcPr>
            <w:tcW w:type="dxa" w:w="4800"/>
          </w:tcPr>
          <w:p>
            <w:pPr>
              <w:pStyle w:val="TableText"/>
              <w:spacing w:after="0"/>
              <w:jc w:val="left"/>
            </w:pPr>
            <w:r>
              <w:rPr>
                <w:rFonts w:ascii="Calibri" w:hAnsi="Calibri" w:eastAsia="Noto Sans SC"/>
                <w:b w:val="0"/>
                <w:color w:val="2A2422"/>
                <w:sz w:val="17"/>
              </w:rPr>
              <w:t>Close with why this team should represent Singapore in an Asia-relevant final. Confirm organiser instructions, venue and exact timing.</w:t>
            </w:r>
          </w:p>
        </w:tc>
        <w:tc>
          <w:tcPr>
            <w:tcW w:type="dxa" w:w="1960"/>
          </w:tcPr>
          <w:p>
            <w:pPr>
              <w:pStyle w:val="TableText"/>
              <w:spacing w:after="0"/>
              <w:jc w:val="left"/>
            </w:pPr>
            <w:r>
              <w:rPr>
                <w:rFonts w:ascii="Calibri" w:hAnsi="Calibri" w:eastAsia="Noto Sans SC"/>
                <w:b w:val="0"/>
                <w:color w:val="2A2422"/>
                <w:sz w:val="17"/>
              </w:rPr>
              <w:t>Public community listing</w:t>
            </w:r>
          </w:p>
        </w:tc>
      </w:tr>
      <w:tr>
        <w:tc>
          <w:tcPr>
            <w:tcW w:type="dxa" w:w="2600"/>
          </w:tcPr>
          <w:p>
            <w:pPr>
              <w:pStyle w:val="TableText"/>
              <w:spacing w:after="0"/>
              <w:jc w:val="left"/>
            </w:pPr>
            <w:r>
              <w:rPr>
                <w:rFonts w:ascii="Calibri" w:hAnsi="Calibri" w:eastAsia="Noto Sans SC"/>
                <w:b w:val="0"/>
                <w:color w:val="2A2422"/>
                <w:sz w:val="17"/>
              </w:rPr>
              <w:t>A May Tencent Singapore challenge used judges from Tencent Cloud, SMU and AI Singapore and assessed human-centred design, AI interaction and feasibility.</w:t>
            </w:r>
          </w:p>
        </w:tc>
        <w:tc>
          <w:tcPr>
            <w:tcW w:type="dxa" w:w="4800"/>
          </w:tcPr>
          <w:p>
            <w:pPr>
              <w:pStyle w:val="TableText"/>
              <w:spacing w:after="0"/>
              <w:jc w:val="left"/>
            </w:pPr>
            <w:r>
              <w:rPr>
                <w:rFonts w:ascii="Calibri" w:hAnsi="Calibri" w:eastAsia="Noto Sans SC"/>
                <w:b w:val="0"/>
                <w:color w:val="2A2422"/>
                <w:sz w:val="17"/>
              </w:rPr>
              <w:t>Prepare for mixed technical, academic and product questions. The exact Age Well panel may differ.</w:t>
            </w:r>
          </w:p>
        </w:tc>
        <w:tc>
          <w:tcPr>
            <w:tcW w:type="dxa" w:w="1960"/>
          </w:tcPr>
          <w:p>
            <w:pPr>
              <w:pStyle w:val="TableText"/>
              <w:spacing w:after="0"/>
              <w:jc w:val="left"/>
            </w:pPr>
            <w:r>
              <w:rPr>
                <w:rFonts w:ascii="Calibri" w:hAnsi="Calibri" w:eastAsia="Noto Sans SC"/>
                <w:b w:val="0"/>
                <w:color w:val="2A2422"/>
                <w:sz w:val="17"/>
              </w:rPr>
              <w:t>Official Tencent release; panel inference</w:t>
            </w:r>
          </w:p>
        </w:tc>
      </w:tr>
      <w:tr>
        <w:tc>
          <w:tcPr>
            <w:tcW w:type="dxa" w:w="2600"/>
          </w:tcPr>
          <w:p>
            <w:pPr>
              <w:pStyle w:val="TableText"/>
              <w:spacing w:after="0"/>
              <w:jc w:val="left"/>
            </w:pPr>
            <w:r>
              <w:rPr>
                <w:rFonts w:ascii="Calibri" w:hAnsi="Calibri" w:eastAsia="Noto Sans SC"/>
                <w:b w:val="0"/>
                <w:color w:val="2A2422"/>
                <w:sz w:val="17"/>
              </w:rPr>
              <w:t>A supplied organiser training deck is recorded in the PRD as scoring Impact 30, AI Tools 40 and Project Quality 30.</w:t>
            </w:r>
          </w:p>
        </w:tc>
        <w:tc>
          <w:tcPr>
            <w:tcW w:type="dxa" w:w="4800"/>
          </w:tcPr>
          <w:p>
            <w:pPr>
              <w:pStyle w:val="TableText"/>
              <w:spacing w:after="0"/>
              <w:jc w:val="left"/>
            </w:pPr>
            <w:r>
              <w:rPr>
                <w:rFonts w:ascii="Calibri" w:hAnsi="Calibri" w:eastAsia="Noto Sans SC"/>
                <w:b w:val="0"/>
                <w:color w:val="2A2422"/>
                <w:sz w:val="17"/>
              </w:rPr>
              <w:t>Allocate speaking time and evidence roughly in that order of weight, while keeping the human problem first.</w:t>
            </w:r>
          </w:p>
        </w:tc>
        <w:tc>
          <w:tcPr>
            <w:tcW w:type="dxa" w:w="1960"/>
          </w:tcPr>
          <w:p>
            <w:pPr>
              <w:pStyle w:val="TableText"/>
              <w:spacing w:after="0"/>
              <w:jc w:val="left"/>
            </w:pPr>
            <w:r>
              <w:rPr>
                <w:rFonts w:ascii="Calibri" w:hAnsi="Calibri" w:eastAsia="Noto Sans SC"/>
                <w:b w:val="0"/>
                <w:color w:val="2A2422"/>
                <w:sz w:val="17"/>
              </w:rPr>
              <w:t>Internal competition material</w:t>
            </w:r>
          </w:p>
        </w:tc>
      </w:tr>
      <w:tr>
        <w:tc>
          <w:tcPr>
            <w:tcW w:type="dxa" w:w="2600"/>
          </w:tcPr>
          <w:p>
            <w:pPr>
              <w:pStyle w:val="TableText"/>
              <w:spacing w:after="0"/>
              <w:jc w:val="left"/>
            </w:pPr>
            <w:r>
              <w:rPr>
                <w:rFonts w:ascii="Calibri" w:hAnsi="Calibri" w:eastAsia="Noto Sans SC"/>
                <w:b w:val="0"/>
                <w:color w:val="2A2422"/>
                <w:sz w:val="17"/>
              </w:rPr>
              <w:t>Prior Singapore winners Auntie AI and EyeDentify each made one painful problem, one AI intervention and one visible outcome easy to grasp.</w:t>
            </w:r>
          </w:p>
        </w:tc>
        <w:tc>
          <w:tcPr>
            <w:tcW w:type="dxa" w:w="4800"/>
          </w:tcPr>
          <w:p>
            <w:pPr>
              <w:pStyle w:val="TableText"/>
              <w:spacing w:after="0"/>
              <w:jc w:val="left"/>
            </w:pPr>
            <w:r>
              <w:rPr>
                <w:rFonts w:ascii="Calibri" w:hAnsi="Calibri" w:eastAsia="Noto Sans SC"/>
                <w:b w:val="0"/>
                <w:color w:val="2A2422"/>
                <w:sz w:val="17"/>
              </w:rPr>
              <w:t>Keep 舞伴 narrow: joyful touch-free dance plus a transparent personal pattern—not an ‘all-in-one senior platform’.</w:t>
            </w:r>
          </w:p>
        </w:tc>
        <w:tc>
          <w:tcPr>
            <w:tcW w:type="dxa" w:w="1960"/>
          </w:tcPr>
          <w:p>
            <w:pPr>
              <w:pStyle w:val="TableText"/>
              <w:spacing w:after="0"/>
              <w:jc w:val="left"/>
            </w:pPr>
            <w:r>
              <w:rPr>
                <w:rFonts w:ascii="Calibri" w:hAnsi="Calibri" w:eastAsia="Noto Sans SC"/>
                <w:b w:val="0"/>
                <w:color w:val="2A2422"/>
                <w:sz w:val="17"/>
              </w:rPr>
              <w:t>Official Tencent release</w:t>
            </w:r>
          </w:p>
        </w:tc>
      </w:tr>
    </w:tbl>
    <w:p>
      <w:pPr>
        <w:spacing w:after="20"/>
      </w:pPr>
    </w:p>
    <w:p>
      <w:r>
        <w:rPr>
          <w:rFonts w:ascii="Calibri" w:hAnsi="Calibri" w:eastAsia="Noto Sans SC"/>
          <w:color w:val="2A2422"/>
        </w:rPr>
        <w:t>Judge assumption to rehearse against: a Tencent technical/product leader, an academic or AI practitioner, and a social-impact/product evaluator. This is preparation, not a claim about the final panel.</w:t>
      </w:r>
    </w:p>
    <w:p>
      <w:r>
        <w:br w:type="page"/>
      </w:r>
    </w:p>
    <w:p>
      <w:pPr>
        <w:pStyle w:val="Heading1"/>
      </w:pPr>
      <w:r>
        <w:t>3. The 10-minute run of show</w:t>
      </w:r>
    </w:p>
    <w:p>
      <w:pPr>
        <w:spacing w:before="80" w:after="180" w:line="283" w:lineRule="auto"/>
        <w:ind w:left="187" w:right="115"/>
        <w:shd w:fill="FAF3E6"/>
        <w:pBdr>
          <w:left w:val="single" w:sz="14" w:space="8" w:color="B9822F"/>
        </w:pBdr>
      </w:pPr>
      <w:r>
        <w:rPr>
          <w:rFonts w:ascii="Calibri" w:hAnsi="Calibri" w:eastAsia="Noto Sans SC"/>
          <w:b/>
          <w:color w:val="5F241C"/>
          <w:sz w:val="21"/>
        </w:rPr>
        <w:t xml:space="preserve">Stage configuration: </w:t>
      </w:r>
      <w:r>
        <w:rPr>
          <w:rFonts w:ascii="Calibri" w:hAnsi="Calibri" w:eastAsia="Noto Sans SC"/>
          <w:color w:val="2A2422"/>
          <w:sz w:val="21"/>
        </w:rPr>
        <w:t>Best case: one speaker, one player, one operator. Pre-stage the real-camera session at countdown after disclosure, safety and calibration. Keep the app, a recorded backup, and static result/trend screenshots open before the timer starts.</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1250"/>
        <w:gridCol w:w="1850"/>
        <w:gridCol w:w="4450"/>
        <w:gridCol w:w="1810"/>
      </w:tblGrid>
      <w:tr>
        <w:trPr>
          <w:tblHeader w:val="true"/>
        </w:trPr>
        <w:tc>
          <w:tcPr>
            <w:tcW w:type="dxa" w:w="125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Time</w:t>
            </w:r>
          </w:p>
        </w:tc>
        <w:tc>
          <w:tcPr>
            <w:tcW w:type="dxa" w:w="185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Purpose</w:t>
            </w:r>
          </w:p>
        </w:tc>
        <w:tc>
          <w:tcPr>
            <w:tcW w:type="dxa" w:w="445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What the judges see</w:t>
            </w:r>
          </w:p>
        </w:tc>
        <w:tc>
          <w:tcPr>
            <w:tcW w:type="dxa" w:w="181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Score served</w:t>
            </w:r>
          </w:p>
        </w:tc>
      </w:tr>
      <w:tr>
        <w:tc>
          <w:tcPr>
            <w:tcW w:type="dxa" w:w="1250"/>
          </w:tcPr>
          <w:p>
            <w:pPr>
              <w:pStyle w:val="TableText"/>
              <w:spacing w:after="0"/>
              <w:jc w:val="left"/>
            </w:pPr>
            <w:r>
              <w:rPr>
                <w:rFonts w:ascii="Calibri" w:hAnsi="Calibri" w:eastAsia="Noto Sans SC"/>
                <w:b w:val="0"/>
                <w:color w:val="2A2422"/>
                <w:sz w:val="17"/>
              </w:rPr>
              <w:t>0:00–0:45</w:t>
            </w:r>
          </w:p>
        </w:tc>
        <w:tc>
          <w:tcPr>
            <w:tcW w:type="dxa" w:w="1850"/>
          </w:tcPr>
          <w:p>
            <w:pPr>
              <w:pStyle w:val="TableText"/>
              <w:spacing w:after="0"/>
              <w:jc w:val="left"/>
            </w:pPr>
            <w:r>
              <w:rPr>
                <w:rFonts w:ascii="Calibri" w:hAnsi="Calibri" w:eastAsia="Noto Sans SC"/>
                <w:b w:val="0"/>
                <w:color w:val="2A2422"/>
                <w:sz w:val="17"/>
              </w:rPr>
              <w:t>Person → pain</w:t>
            </w:r>
          </w:p>
        </w:tc>
        <w:tc>
          <w:tcPr>
            <w:tcW w:type="dxa" w:w="4450"/>
          </w:tcPr>
          <w:p>
            <w:pPr>
              <w:pStyle w:val="TableText"/>
              <w:spacing w:after="0"/>
              <w:jc w:val="left"/>
            </w:pPr>
            <w:r>
              <w:rPr>
                <w:rFonts w:ascii="Calibri" w:hAnsi="Calibri" w:eastAsia="Noto Sans SC"/>
                <w:b w:val="0"/>
                <w:color w:val="2A2422"/>
                <w:sz w:val="17"/>
              </w:rPr>
              <w:t>Mei, 68; one concrete gap; no fear-based statistic dump</w:t>
            </w:r>
          </w:p>
        </w:tc>
        <w:tc>
          <w:tcPr>
            <w:tcW w:type="dxa" w:w="1810"/>
          </w:tcPr>
          <w:p>
            <w:pPr>
              <w:pStyle w:val="TableText"/>
              <w:spacing w:after="0"/>
              <w:jc w:val="left"/>
            </w:pPr>
            <w:r>
              <w:rPr>
                <w:rFonts w:ascii="Calibri" w:hAnsi="Calibri" w:eastAsia="Noto Sans SC"/>
                <w:b w:val="0"/>
                <w:color w:val="2A2422"/>
                <w:sz w:val="17"/>
              </w:rPr>
              <w:t>Impact</w:t>
            </w:r>
          </w:p>
        </w:tc>
      </w:tr>
      <w:tr>
        <w:tc>
          <w:tcPr>
            <w:tcW w:type="dxa" w:w="1250"/>
          </w:tcPr>
          <w:p>
            <w:pPr>
              <w:pStyle w:val="TableText"/>
              <w:spacing w:after="0"/>
              <w:jc w:val="left"/>
            </w:pPr>
            <w:r>
              <w:rPr>
                <w:rFonts w:ascii="Calibri" w:hAnsi="Calibri" w:eastAsia="Noto Sans SC"/>
                <w:b w:val="0"/>
                <w:color w:val="2A2422"/>
                <w:sz w:val="17"/>
              </w:rPr>
              <w:t>0:45–1:20</w:t>
            </w:r>
          </w:p>
        </w:tc>
        <w:tc>
          <w:tcPr>
            <w:tcW w:type="dxa" w:w="1850"/>
          </w:tcPr>
          <w:p>
            <w:pPr>
              <w:pStyle w:val="TableText"/>
              <w:spacing w:after="0"/>
              <w:jc w:val="left"/>
            </w:pPr>
            <w:r>
              <w:rPr>
                <w:rFonts w:ascii="Calibri" w:hAnsi="Calibri" w:eastAsia="Noto Sans SC"/>
                <w:b w:val="0"/>
                <w:color w:val="2A2422"/>
                <w:sz w:val="17"/>
              </w:rPr>
              <w:t>Solution → why now</w:t>
            </w:r>
          </w:p>
        </w:tc>
        <w:tc>
          <w:tcPr>
            <w:tcW w:type="dxa" w:w="4450"/>
          </w:tcPr>
          <w:p>
            <w:pPr>
              <w:pStyle w:val="TableText"/>
              <w:spacing w:after="0"/>
              <w:jc w:val="left"/>
            </w:pPr>
            <w:r>
              <w:rPr>
                <w:rFonts w:ascii="Calibri" w:hAnsi="Calibri" w:eastAsia="Noto Sans SC"/>
                <w:b w:val="0"/>
                <w:color w:val="2A2422"/>
                <w:sz w:val="17"/>
              </w:rPr>
              <w:t>One-sentence product; Singapore’s community-ageing relevance</w:t>
            </w:r>
          </w:p>
        </w:tc>
        <w:tc>
          <w:tcPr>
            <w:tcW w:type="dxa" w:w="1810"/>
          </w:tcPr>
          <w:p>
            <w:pPr>
              <w:pStyle w:val="TableText"/>
              <w:spacing w:after="0"/>
              <w:jc w:val="left"/>
            </w:pPr>
            <w:r>
              <w:rPr>
                <w:rFonts w:ascii="Calibri" w:hAnsi="Calibri" w:eastAsia="Noto Sans SC"/>
                <w:b w:val="0"/>
                <w:color w:val="2A2422"/>
                <w:sz w:val="17"/>
              </w:rPr>
              <w:t>Impact</w:t>
            </w:r>
          </w:p>
        </w:tc>
      </w:tr>
      <w:tr>
        <w:tc>
          <w:tcPr>
            <w:tcW w:type="dxa" w:w="1250"/>
          </w:tcPr>
          <w:p>
            <w:pPr>
              <w:pStyle w:val="TableText"/>
              <w:spacing w:after="0"/>
              <w:jc w:val="left"/>
            </w:pPr>
            <w:r>
              <w:rPr>
                <w:rFonts w:ascii="Calibri" w:hAnsi="Calibri" w:eastAsia="Noto Sans SC"/>
                <w:b w:val="0"/>
                <w:color w:val="2A2422"/>
                <w:sz w:val="17"/>
              </w:rPr>
              <w:t>1:20–1:35</w:t>
            </w:r>
          </w:p>
        </w:tc>
        <w:tc>
          <w:tcPr>
            <w:tcW w:type="dxa" w:w="1850"/>
          </w:tcPr>
          <w:p>
            <w:pPr>
              <w:pStyle w:val="TableText"/>
              <w:spacing w:after="0"/>
              <w:jc w:val="left"/>
            </w:pPr>
            <w:r>
              <w:rPr>
                <w:rFonts w:ascii="Calibri" w:hAnsi="Calibri" w:eastAsia="Noto Sans SC"/>
                <w:b w:val="0"/>
                <w:color w:val="2A2422"/>
                <w:sz w:val="17"/>
              </w:rPr>
              <w:t>Trust before camera</w:t>
            </w:r>
          </w:p>
        </w:tc>
        <w:tc>
          <w:tcPr>
            <w:tcW w:type="dxa" w:w="4450"/>
          </w:tcPr>
          <w:p>
            <w:pPr>
              <w:pStyle w:val="TableText"/>
              <w:spacing w:after="0"/>
              <w:jc w:val="left"/>
            </w:pPr>
            <w:r>
              <w:rPr>
                <w:rFonts w:ascii="Calibri" w:hAnsi="Calibri" w:eastAsia="Noto Sans SC"/>
                <w:b w:val="0"/>
                <w:color w:val="2A2422"/>
                <w:sz w:val="17"/>
              </w:rPr>
              <w:t>Disclosure, on-device processing and the pre-staged real session</w:t>
            </w:r>
          </w:p>
        </w:tc>
        <w:tc>
          <w:tcPr>
            <w:tcW w:type="dxa" w:w="1810"/>
          </w:tcPr>
          <w:p>
            <w:pPr>
              <w:pStyle w:val="TableText"/>
              <w:spacing w:after="0"/>
              <w:jc w:val="left"/>
            </w:pPr>
            <w:r>
              <w:rPr>
                <w:rFonts w:ascii="Calibri" w:hAnsi="Calibri" w:eastAsia="Noto Sans SC"/>
                <w:b w:val="0"/>
                <w:color w:val="2A2422"/>
                <w:sz w:val="17"/>
              </w:rPr>
              <w:t>Quality</w:t>
            </w:r>
          </w:p>
        </w:tc>
      </w:tr>
      <w:tr>
        <w:tc>
          <w:tcPr>
            <w:tcW w:type="dxa" w:w="1250"/>
          </w:tcPr>
          <w:p>
            <w:pPr>
              <w:pStyle w:val="TableText"/>
              <w:spacing w:after="0"/>
              <w:jc w:val="left"/>
            </w:pPr>
            <w:r>
              <w:rPr>
                <w:rFonts w:ascii="Calibri" w:hAnsi="Calibri" w:eastAsia="Noto Sans SC"/>
                <w:b w:val="0"/>
                <w:color w:val="2A2422"/>
                <w:sz w:val="17"/>
              </w:rPr>
              <w:t>1:35–5:40</w:t>
            </w:r>
          </w:p>
        </w:tc>
        <w:tc>
          <w:tcPr>
            <w:tcW w:type="dxa" w:w="1850"/>
          </w:tcPr>
          <w:p>
            <w:pPr>
              <w:pStyle w:val="TableText"/>
              <w:spacing w:after="0"/>
              <w:jc w:val="left"/>
            </w:pPr>
            <w:r>
              <w:rPr>
                <w:rFonts w:ascii="Calibri" w:hAnsi="Calibri" w:eastAsia="Noto Sans SC"/>
                <w:b w:val="0"/>
                <w:color w:val="2A2422"/>
                <w:sz w:val="17"/>
              </w:rPr>
              <w:t>Killer demo</w:t>
            </w:r>
          </w:p>
        </w:tc>
        <w:tc>
          <w:tcPr>
            <w:tcW w:type="dxa" w:w="4450"/>
          </w:tcPr>
          <w:p>
            <w:pPr>
              <w:pStyle w:val="TableText"/>
              <w:spacing w:after="0"/>
              <w:jc w:val="left"/>
            </w:pPr>
            <w:r>
              <w:rPr>
                <w:rFonts w:ascii="Calibri" w:hAnsi="Calibri" w:eastAsia="Noto Sans SC"/>
                <w:b w:val="0"/>
                <w:color w:val="2A2422"/>
                <w:sz w:val="17"/>
              </w:rPr>
              <w:t>Full four-minute standing session: warm-up, rhythm, memory/no-go, quality recovery, result</w:t>
            </w:r>
          </w:p>
        </w:tc>
        <w:tc>
          <w:tcPr>
            <w:tcW w:type="dxa" w:w="1810"/>
          </w:tcPr>
          <w:p>
            <w:pPr>
              <w:pStyle w:val="TableText"/>
              <w:spacing w:after="0"/>
              <w:jc w:val="left"/>
            </w:pPr>
            <w:r>
              <w:rPr>
                <w:rFonts w:ascii="Calibri" w:hAnsi="Calibri" w:eastAsia="Noto Sans SC"/>
                <w:b w:val="0"/>
                <w:color w:val="2A2422"/>
                <w:sz w:val="17"/>
              </w:rPr>
              <w:t>AI + Quality</w:t>
            </w:r>
          </w:p>
        </w:tc>
      </w:tr>
      <w:tr>
        <w:tc>
          <w:tcPr>
            <w:tcW w:type="dxa" w:w="1250"/>
          </w:tcPr>
          <w:p>
            <w:pPr>
              <w:pStyle w:val="TableText"/>
              <w:spacing w:after="0"/>
              <w:jc w:val="left"/>
            </w:pPr>
            <w:r>
              <w:rPr>
                <w:rFonts w:ascii="Calibri" w:hAnsi="Calibri" w:eastAsia="Noto Sans SC"/>
                <w:b w:val="0"/>
                <w:color w:val="2A2422"/>
                <w:sz w:val="17"/>
              </w:rPr>
              <w:t>5:40–6:30</w:t>
            </w:r>
          </w:p>
        </w:tc>
        <w:tc>
          <w:tcPr>
            <w:tcW w:type="dxa" w:w="1850"/>
          </w:tcPr>
          <w:p>
            <w:pPr>
              <w:pStyle w:val="TableText"/>
              <w:spacing w:after="0"/>
              <w:jc w:val="left"/>
            </w:pPr>
            <w:r>
              <w:rPr>
                <w:rFonts w:ascii="Calibri" w:hAnsi="Calibri" w:eastAsia="Noto Sans SC"/>
                <w:b w:val="0"/>
                <w:color w:val="2A2422"/>
                <w:sz w:val="17"/>
              </w:rPr>
              <w:t>Longitudinal story</w:t>
            </w:r>
          </w:p>
        </w:tc>
        <w:tc>
          <w:tcPr>
            <w:tcW w:type="dxa" w:w="4450"/>
          </w:tcPr>
          <w:p>
            <w:pPr>
              <w:pStyle w:val="TableText"/>
              <w:spacing w:after="0"/>
              <w:jc w:val="left"/>
            </w:pPr>
            <w:r>
              <w:rPr>
                <w:rFonts w:ascii="Calibri" w:hAnsi="Calibri" w:eastAsia="Noto Sans SC"/>
                <w:b w:val="0"/>
                <w:color w:val="2A2422"/>
                <w:sz w:val="17"/>
              </w:rPr>
              <w:t>Clearly labelled simulated trend; sharing off; check-in preview</w:t>
            </w:r>
          </w:p>
        </w:tc>
        <w:tc>
          <w:tcPr>
            <w:tcW w:type="dxa" w:w="1810"/>
          </w:tcPr>
          <w:p>
            <w:pPr>
              <w:pStyle w:val="TableText"/>
              <w:spacing w:after="0"/>
              <w:jc w:val="left"/>
            </w:pPr>
            <w:r>
              <w:rPr>
                <w:rFonts w:ascii="Calibri" w:hAnsi="Calibri" w:eastAsia="Noto Sans SC"/>
                <w:b w:val="0"/>
                <w:color w:val="2A2422"/>
                <w:sz w:val="17"/>
              </w:rPr>
              <w:t>Impact + Trust</w:t>
            </w:r>
          </w:p>
        </w:tc>
      </w:tr>
      <w:tr>
        <w:tc>
          <w:tcPr>
            <w:tcW w:type="dxa" w:w="1250"/>
          </w:tcPr>
          <w:p>
            <w:pPr>
              <w:pStyle w:val="TableText"/>
              <w:spacing w:after="0"/>
              <w:jc w:val="left"/>
            </w:pPr>
            <w:r>
              <w:rPr>
                <w:rFonts w:ascii="Calibri" w:hAnsi="Calibri" w:eastAsia="Noto Sans SC"/>
                <w:b w:val="0"/>
                <w:color w:val="2A2422"/>
                <w:sz w:val="17"/>
              </w:rPr>
              <w:t>6:30–7:25</w:t>
            </w:r>
          </w:p>
        </w:tc>
        <w:tc>
          <w:tcPr>
            <w:tcW w:type="dxa" w:w="1850"/>
          </w:tcPr>
          <w:p>
            <w:pPr>
              <w:pStyle w:val="TableText"/>
              <w:spacing w:after="0"/>
              <w:jc w:val="left"/>
            </w:pPr>
            <w:r>
              <w:rPr>
                <w:rFonts w:ascii="Calibri" w:hAnsi="Calibri" w:eastAsia="Noto Sans SC"/>
                <w:b w:val="0"/>
                <w:color w:val="2A2422"/>
                <w:sz w:val="17"/>
              </w:rPr>
              <w:t>Why AI / architecture</w:t>
            </w:r>
          </w:p>
        </w:tc>
        <w:tc>
          <w:tcPr>
            <w:tcW w:type="dxa" w:w="4450"/>
          </w:tcPr>
          <w:p>
            <w:pPr>
              <w:pStyle w:val="TableText"/>
              <w:spacing w:after="0"/>
              <w:jc w:val="left"/>
            </w:pPr>
            <w:r>
              <w:rPr>
                <w:rFonts w:ascii="Calibri" w:hAnsi="Calibri" w:eastAsia="Noto Sans SC"/>
                <w:b w:val="0"/>
                <w:color w:val="2A2422"/>
                <w:sz w:val="17"/>
              </w:rPr>
              <w:t>AI perception versus rules versus robust statistics; no runtime LLM</w:t>
            </w:r>
          </w:p>
        </w:tc>
        <w:tc>
          <w:tcPr>
            <w:tcW w:type="dxa" w:w="1810"/>
          </w:tcPr>
          <w:p>
            <w:pPr>
              <w:pStyle w:val="TableText"/>
              <w:spacing w:after="0"/>
              <w:jc w:val="left"/>
            </w:pPr>
            <w:r>
              <w:rPr>
                <w:rFonts w:ascii="Calibri" w:hAnsi="Calibri" w:eastAsia="Noto Sans SC"/>
                <w:b w:val="0"/>
                <w:color w:val="2A2422"/>
                <w:sz w:val="17"/>
              </w:rPr>
              <w:t>AI</w:t>
            </w:r>
          </w:p>
        </w:tc>
      </w:tr>
      <w:tr>
        <w:tc>
          <w:tcPr>
            <w:tcW w:type="dxa" w:w="1250"/>
          </w:tcPr>
          <w:p>
            <w:pPr>
              <w:pStyle w:val="TableText"/>
              <w:spacing w:after="0"/>
              <w:jc w:val="left"/>
            </w:pPr>
            <w:r>
              <w:rPr>
                <w:rFonts w:ascii="Calibri" w:hAnsi="Calibri" w:eastAsia="Noto Sans SC"/>
                <w:b w:val="0"/>
                <w:color w:val="2A2422"/>
                <w:sz w:val="17"/>
              </w:rPr>
              <w:t>7:25–8:15</w:t>
            </w:r>
          </w:p>
        </w:tc>
        <w:tc>
          <w:tcPr>
            <w:tcW w:type="dxa" w:w="1850"/>
          </w:tcPr>
          <w:p>
            <w:pPr>
              <w:pStyle w:val="TableText"/>
              <w:spacing w:after="0"/>
              <w:jc w:val="left"/>
            </w:pPr>
            <w:r>
              <w:rPr>
                <w:rFonts w:ascii="Calibri" w:hAnsi="Calibri" w:eastAsia="Noto Sans SC"/>
                <w:b w:val="0"/>
                <w:color w:val="2A2422"/>
                <w:sz w:val="17"/>
              </w:rPr>
              <w:t>Evidence and limits</w:t>
            </w:r>
          </w:p>
        </w:tc>
        <w:tc>
          <w:tcPr>
            <w:tcW w:type="dxa" w:w="4450"/>
          </w:tcPr>
          <w:p>
            <w:pPr>
              <w:pStyle w:val="TableText"/>
              <w:spacing w:after="0"/>
              <w:jc w:val="left"/>
            </w:pPr>
            <w:r>
              <w:rPr>
                <w:rFonts w:ascii="Calibri" w:hAnsi="Calibri" w:eastAsia="Noto Sans SC"/>
                <w:b w:val="0"/>
                <w:color w:val="2A2422"/>
                <w:sz w:val="17"/>
              </w:rPr>
              <w:t>Automated coverage, current open gates and honest boundary</w:t>
            </w:r>
          </w:p>
        </w:tc>
        <w:tc>
          <w:tcPr>
            <w:tcW w:type="dxa" w:w="1810"/>
          </w:tcPr>
          <w:p>
            <w:pPr>
              <w:pStyle w:val="TableText"/>
              <w:spacing w:after="0"/>
              <w:jc w:val="left"/>
            </w:pPr>
            <w:r>
              <w:rPr>
                <w:rFonts w:ascii="Calibri" w:hAnsi="Calibri" w:eastAsia="Noto Sans SC"/>
                <w:b w:val="0"/>
                <w:color w:val="2A2422"/>
                <w:sz w:val="17"/>
              </w:rPr>
              <w:t>Quality</w:t>
            </w:r>
          </w:p>
        </w:tc>
      </w:tr>
      <w:tr>
        <w:tc>
          <w:tcPr>
            <w:tcW w:type="dxa" w:w="1250"/>
          </w:tcPr>
          <w:p>
            <w:pPr>
              <w:pStyle w:val="TableText"/>
              <w:spacing w:after="0"/>
              <w:jc w:val="left"/>
            </w:pPr>
            <w:r>
              <w:rPr>
                <w:rFonts w:ascii="Calibri" w:hAnsi="Calibri" w:eastAsia="Noto Sans SC"/>
                <w:b w:val="0"/>
                <w:color w:val="2A2422"/>
                <w:sz w:val="17"/>
              </w:rPr>
              <w:t>8:15–9:10</w:t>
            </w:r>
          </w:p>
        </w:tc>
        <w:tc>
          <w:tcPr>
            <w:tcW w:type="dxa" w:w="1850"/>
          </w:tcPr>
          <w:p>
            <w:pPr>
              <w:pStyle w:val="TableText"/>
              <w:spacing w:after="0"/>
              <w:jc w:val="left"/>
            </w:pPr>
            <w:r>
              <w:rPr>
                <w:rFonts w:ascii="Calibri" w:hAnsi="Calibri" w:eastAsia="Noto Sans SC"/>
                <w:b w:val="0"/>
                <w:color w:val="2A2422"/>
                <w:sz w:val="17"/>
              </w:rPr>
              <w:t>Pilot and scale</w:t>
            </w:r>
          </w:p>
        </w:tc>
        <w:tc>
          <w:tcPr>
            <w:tcW w:type="dxa" w:w="4450"/>
          </w:tcPr>
          <w:p>
            <w:pPr>
              <w:pStyle w:val="TableText"/>
              <w:spacing w:after="0"/>
              <w:jc w:val="left"/>
            </w:pPr>
            <w:r>
              <w:rPr>
                <w:rFonts w:ascii="Calibri" w:hAnsi="Calibri" w:eastAsia="Noto Sans SC"/>
                <w:b w:val="0"/>
                <w:color w:val="2A2422"/>
                <w:sz w:val="17"/>
              </w:rPr>
              <w:t>AAC/Age Well Neighbourhood pilot; measures that are not clinical endpoints</w:t>
            </w:r>
          </w:p>
        </w:tc>
        <w:tc>
          <w:tcPr>
            <w:tcW w:type="dxa" w:w="1810"/>
          </w:tcPr>
          <w:p>
            <w:pPr>
              <w:pStyle w:val="TableText"/>
              <w:spacing w:after="0"/>
              <w:jc w:val="left"/>
            </w:pPr>
            <w:r>
              <w:rPr>
                <w:rFonts w:ascii="Calibri" w:hAnsi="Calibri" w:eastAsia="Noto Sans SC"/>
                <w:b w:val="0"/>
                <w:color w:val="2A2422"/>
                <w:sz w:val="17"/>
              </w:rPr>
              <w:t>Impact + Feasibility</w:t>
            </w:r>
          </w:p>
        </w:tc>
      </w:tr>
      <w:tr>
        <w:tc>
          <w:tcPr>
            <w:tcW w:type="dxa" w:w="1250"/>
          </w:tcPr>
          <w:p>
            <w:pPr>
              <w:pStyle w:val="TableText"/>
              <w:spacing w:after="0"/>
              <w:jc w:val="left"/>
            </w:pPr>
            <w:r>
              <w:rPr>
                <w:rFonts w:ascii="Calibri" w:hAnsi="Calibri" w:eastAsia="Noto Sans SC"/>
                <w:b w:val="0"/>
                <w:color w:val="2A2422"/>
                <w:sz w:val="17"/>
              </w:rPr>
              <w:t>9:10–10:00</w:t>
            </w:r>
          </w:p>
        </w:tc>
        <w:tc>
          <w:tcPr>
            <w:tcW w:type="dxa" w:w="1850"/>
          </w:tcPr>
          <w:p>
            <w:pPr>
              <w:pStyle w:val="TableText"/>
              <w:spacing w:after="0"/>
              <w:jc w:val="left"/>
            </w:pPr>
            <w:r>
              <w:rPr>
                <w:rFonts w:ascii="Calibri" w:hAnsi="Calibri" w:eastAsia="Noto Sans SC"/>
                <w:b w:val="0"/>
                <w:color w:val="2A2422"/>
                <w:sz w:val="17"/>
              </w:rPr>
              <w:t>Why Shenzhen</w:t>
            </w:r>
          </w:p>
        </w:tc>
        <w:tc>
          <w:tcPr>
            <w:tcW w:type="dxa" w:w="4450"/>
          </w:tcPr>
          <w:p>
            <w:pPr>
              <w:pStyle w:val="TableText"/>
              <w:spacing w:after="0"/>
              <w:jc w:val="left"/>
            </w:pPr>
            <w:r>
              <w:rPr>
                <w:rFonts w:ascii="Calibri" w:hAnsi="Calibri" w:eastAsia="Noto Sans SC"/>
                <w:b w:val="0"/>
                <w:color w:val="2A2422"/>
                <w:sz w:val="17"/>
              </w:rPr>
              <w:t>Singapore proving ground; responsible AI; Asia-scale relevance; memorable close</w:t>
            </w:r>
          </w:p>
        </w:tc>
        <w:tc>
          <w:tcPr>
            <w:tcW w:type="dxa" w:w="1810"/>
          </w:tcPr>
          <w:p>
            <w:pPr>
              <w:pStyle w:val="TableText"/>
              <w:spacing w:after="0"/>
              <w:jc w:val="left"/>
            </w:pPr>
            <w:r>
              <w:rPr>
                <w:rFonts w:ascii="Calibri" w:hAnsi="Calibri" w:eastAsia="Noto Sans SC"/>
                <w:b w:val="0"/>
                <w:color w:val="2A2422"/>
                <w:sz w:val="17"/>
              </w:rPr>
              <w:t>Decision</w:t>
            </w:r>
          </w:p>
        </w:tc>
      </w:tr>
    </w:tbl>
    <w:p>
      <w:pPr>
        <w:spacing w:after="20"/>
      </w:pPr>
    </w:p>
    <w:p>
      <w:pPr>
        <w:spacing w:before="80" w:after="180" w:line="283" w:lineRule="auto"/>
        <w:ind w:left="187" w:right="115"/>
        <w:shd w:fill="F7EDEA"/>
        <w:pBdr>
          <w:left w:val="single" w:sz="14" w:space="8" w:color="9B1C1C"/>
        </w:pBdr>
      </w:pPr>
      <w:r>
        <w:rPr>
          <w:rFonts w:ascii="Calibri" w:hAnsi="Calibri" w:eastAsia="Noto Sans SC"/>
          <w:b/>
          <w:color w:val="5F241C"/>
          <w:sz w:val="21"/>
        </w:rPr>
        <w:t xml:space="preserve">Timing rule: </w:t>
      </w:r>
      <w:r>
        <w:rPr>
          <w:rFonts w:ascii="Calibri" w:hAnsi="Calibri" w:eastAsia="Noto Sans SC"/>
          <w:color w:val="2A2422"/>
          <w:sz w:val="21"/>
        </w:rPr>
        <w:t>At 7:30, stop adding technical detail. At 9:10, begin the close even if a previous section ran long. Never sacrifice the final 35 seconds.</w:t>
      </w:r>
    </w:p>
    <w:p>
      <w:pPr>
        <w:pStyle w:val="Heading1"/>
      </w:pPr>
      <w:r>
        <w:t>4. Speaker-ready pitch script</w:t>
      </w:r>
    </w:p>
    <w:p>
      <w:pPr>
        <w:pStyle w:val="Heading2"/>
      </w:pPr>
      <w:r>
        <w:t>0:00–0:45 — Meet the person, not the technology</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Meet Mei. She is 68. She does not wake up wanting a cognitive test. She does want to move to familiar music, feel capable, and stay connected to the people she trusts. Today, the time between everyday life and a formal assessment is mostly invisible. We asked: what if an activity worth doing for its own sake could also create a transparent personal record—without uploading her camera into the cloud?</w:t>
      </w:r>
    </w:p>
    <w:p>
      <w:pPr>
        <w:pStyle w:val="Heading2"/>
      </w:pPr>
      <w:r>
        <w:t>0:45–1:20 — Name the product and the Singapore fit</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This is 舞伴—Dance Companion—a joyful rhythm and memory game for adults aged 60 to 75. Singapore is now a super-aged society, and by 2030 about one in four citizens is projected to be 65 or older. Age Well SG is investing in active, connected ageing in the community. 舞伴 fits that direction: play first, dignity always, and no clinical claim.[S11][S4]</w:t>
      </w:r>
    </w:p>
    <w:p>
      <w:pPr>
        <w:pStyle w:val="Heading2"/>
      </w:pPr>
      <w:r>
        <w:t>1:20–1:35 — Establish trust before the demo</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I have already completed the camera disclosure, safety check and calibration so we can use our ten minutes on the experience. Webcam frames are processed in memory on this laptop and discarded. Nothing from the camera is uploaded, and only one calibrated player contributes to a personal pattern.</w:t>
      </w:r>
    </w:p>
    <w:p>
      <w:pPr>
        <w:pStyle w:val="Heading2"/>
      </w:pPr>
      <w:r>
        <w:t>1:35–5:40 — Narrate the live four-minute session</w:t>
      </w:r>
    </w:p>
    <w:p>
      <w:r>
        <w:rPr>
          <w:rFonts w:ascii="Calibri" w:hAnsi="Calibri" w:eastAsia="Noto Sans SC"/>
          <w:color w:val="2A2422"/>
        </w:rPr>
        <w:t>Do not talk continuously. Let the music, cues and player reactions carry the room. Use the following short lines at the named moments.</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This warm-up is deliberately unscored. The system first checks whether the player and camera are ready; it does not punish uncertainty.</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The on-device model estimates landmarks. Our transparent classifier turns those landmarks into gentle left, right, forward and back events. The runway shows several upcoming moves, and the player returns to centre before a new event can count.</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If confidence drops or another person overlaps the scoring boundary, that segment becomes unscoreable. The game asks for recovery; it never demands a larger movement to compensate for poor tracking.</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Now the cue support reduces and the memory/no-go phase begins. The lantern means hold. This combines movement, timing, short sequence recall and inhibition—but these are gameplay measures, not a diagnosis.</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The player can pause at any time. Standing movement is bounded, with no jumping or spins; the separate seated route uses hand and finger gestures with its own calibration and acceptance rules.</w:t>
      </w:r>
    </w:p>
    <w:p>
      <w:pPr>
        <w:pStyle w:val="Heading2"/>
      </w:pPr>
      <w:r>
        <w:t>5:40–6:30 — Result, trend and consent</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The result celebrates Beat, Shape, Flow and Memory separately from session quality. A camera problem can exclude the session from the personal pattern without taking away participation credit. For the longitudinal story, I am now switching to clearly marked simulated data—because a hackathon prototype must not pretend it has months of real history.</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The prototype learns a person’s own usual range from clear, comparable sessions; it does not compare Mei with an age-group leaderboard. Sharing is off by default. Only Mei can grant and revoke a trusted supporter’s access. The current build previews a calm check-in and does not claim a live WeChat delivery.</w:t>
      </w:r>
    </w:p>
    <w:p>
      <w:pPr>
        <w:pStyle w:val="Heading2"/>
      </w:pPr>
      <w:r>
        <w:t>6:30–7:25 — Why AI, and why the restraint matters</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AI is necessary at the point of perception: it turns ordinary body or hand movement into controller-free input. Without it, this needs a wearable, a game controller or a human observer. After perception, we intentionally use explainable rules for movement, one audio clock for timing, and robust statistics for a personal trend. There is no runtime LLM inventing health advice. AI sees; rules decide what counts; uncertainty stops the claim.</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For Tencent fit, show—not merely tell—the real CodeBuddy path from task to reviewed code and passing evidence, and the real Miora path from prompt to final integrated asset. If either trail is not captured before the stage, omit that sentence rather than overclaiming.</w:t>
      </w:r>
    </w:p>
    <w:p>
      <w:pPr>
        <w:pStyle w:val="Heading2"/>
      </w:pPr>
      <w:r>
        <w:t>7:25–8:15 — Evidence and honest limitations</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We built a complete local-first vertical slice across standing and seated play, camera recovery, local summaries, simulated-trend separation, consent and revocation. The codebase includes unit, IndexedDB integration and production-browser coverage, plus an offline labelled fallback. Our remaining work is equally explicit: representative real-camera runs, demo-laptop audio proof, older-adult usability, final Tencent-tool provenance and an external supporter channel. We treat those as gates, not as results.</w:t>
      </w:r>
    </w:p>
    <w:p>
      <w:pPr>
        <w:pStyle w:val="Heading2"/>
      </w:pPr>
      <w:r>
        <w:t>8:15–9:10 — Credible pilot and scale</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We would start with one Active Ageing Centre in an Age Well Neighbourhood such as Toa Payoh or Bedok: first co-design with older adults and facilitators, then an eight-week non-clinical pilot. We would measure time to first success, completion, valid-session rate, enjoyment, perceived safety, consent comprehension and willingness to return—not cognitive improvement. Singapore already has a network of 223 AACs, so a successful one-centre operating model has a concrete distribution path.[S4][S5]</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The core scales differently from cloud video AI: the browser does inference on the player’s device, stores only derived summaries locally and can work after assets are loaded. A future supporter service is a separate, consented adapter; it is not required for play.</w:t>
      </w:r>
    </w:p>
    <w:p>
      <w:pPr>
        <w:pStyle w:val="Heading2"/>
      </w:pPr>
      <w:r>
        <w:t>9:10–10:00 — Why this team should go to Shenzhen</w:t>
      </w:r>
    </w:p>
    <w:p>
      <w:pPr>
        <w:pStyle w:val="PitchScript"/>
        <w:shd w:fill="FAF3E6"/>
        <w:pBdr>
          <w:left w:val="single" w:sz="10" w:space="7" w:color="963E2D"/>
        </w:pBdr>
      </w:pPr>
      <w:r>
        <w:rPr>
          <w:rFonts w:ascii="Calibri" w:hAnsi="Calibri" w:eastAsia="Noto Sans SC"/>
          <w:b/>
          <w:color w:val="963E2D"/>
          <w:sz w:val="19"/>
        </w:rPr>
        <w:t xml:space="preserve">SAY  </w:t>
      </w:r>
      <w:r>
        <w:rPr>
          <w:rFonts w:ascii="Calibri" w:hAnsi="Calibri" w:eastAsia="Noto Sans SC"/>
          <w:color w:val="2A2422"/>
          <w:sz w:val="21"/>
        </w:rPr>
        <w:t>舞伴 makes the healthy action the desirable action. We are not asking judges to trust an unvalidated diagnosis. We are showing a working, responsible AI game that makes movement visible, keeps uncertainty honest and gives older adults control over their data and relationships. Singapore is the right proving ground because community ageing is already national infrastructure. Shenzhen is the right next stage because population ageing is accelerating across Asia. Choose 舞伴 to represent Singapore: joyful enough to use, rigorous enough to trust, and disciplined enough to validate.</w:t>
      </w:r>
    </w:p>
    <w:p>
      <w:r>
        <w:br w:type="page"/>
      </w:r>
    </w:p>
    <w:p>
      <w:pPr>
        <w:pStyle w:val="Heading1"/>
      </w:pPr>
      <w:r>
        <w:t>5. Demo choreography and failure plan</w:t>
      </w:r>
    </w:p>
    <w:p>
      <w:pPr>
        <w:pStyle w:val="Heading2"/>
      </w:pPr>
      <w:r>
        <w:t>The one magical journey</w:t>
      </w:r>
    </w:p>
    <w:p>
      <w:pPr>
        <w:numPr>
          <w:ilvl w:val="0"/>
          <w:numId w:val="11"/>
        </w:numPr>
        <w:spacing w:after="80" w:line="300" w:lineRule="auto"/>
      </w:pPr>
      <w:r>
        <w:rPr>
          <w:rFonts w:ascii="Calibri" w:hAnsi="Calibri" w:eastAsia="Noto Sans SC"/>
          <w:color w:val="2A2422"/>
          <w:sz w:val="21"/>
        </w:rPr>
        <w:t>Before the timer: open Chrome full-screen at the real-camera countdown after disclosure, safety and calibration. Confirm camera, music, cue volume and the correct language.</w:t>
      </w:r>
    </w:p>
    <w:p>
      <w:pPr>
        <w:numPr>
          <w:ilvl w:val="0"/>
          <w:numId w:val="11"/>
        </w:numPr>
        <w:spacing w:after="80" w:line="300" w:lineRule="auto"/>
      </w:pPr>
      <w:r>
        <w:rPr>
          <w:rFonts w:ascii="Calibri" w:hAnsi="Calibri" w:eastAsia="Noto Sans SC"/>
          <w:color w:val="2A2422"/>
          <w:sz w:val="21"/>
        </w:rPr>
        <w:t>Show the warm-up quality gate, four-lane runway and live centre/direction compass. Let the judges see that the game perceives rather than merely plays an animation.</w:t>
      </w:r>
    </w:p>
    <w:p>
      <w:pPr>
        <w:numPr>
          <w:ilvl w:val="0"/>
          <w:numId w:val="11"/>
        </w:numPr>
        <w:spacing w:after="80" w:line="300" w:lineRule="auto"/>
      </w:pPr>
      <w:r>
        <w:rPr>
          <w:rFonts w:ascii="Calibri" w:hAnsi="Calibri" w:eastAsia="Noto Sans SC"/>
          <w:color w:val="2A2422"/>
          <w:sz w:val="21"/>
        </w:rPr>
        <w:t>Perform one clean sequence, one intentional no-go error and—only if rehearsed—one brief occlusion so recovery appears. Do not create an unrehearsed failure on stage.</w:t>
      </w:r>
    </w:p>
    <w:p>
      <w:pPr>
        <w:numPr>
          <w:ilvl w:val="0"/>
          <w:numId w:val="11"/>
        </w:numPr>
        <w:spacing w:after="80" w:line="300" w:lineRule="auto"/>
      </w:pPr>
      <w:r>
        <w:rPr>
          <w:rFonts w:ascii="Calibri" w:hAnsi="Calibri" w:eastAsia="Noto Sans SC"/>
          <w:color w:val="2A2422"/>
          <w:sz w:val="21"/>
        </w:rPr>
        <w:t>Finish on the result. Point to the fun-score/session-quality separation and the non-diagnostic wording.</w:t>
      </w:r>
    </w:p>
    <w:p>
      <w:pPr>
        <w:numPr>
          <w:ilvl w:val="0"/>
          <w:numId w:val="11"/>
        </w:numPr>
        <w:spacing w:after="80" w:line="300" w:lineRule="auto"/>
      </w:pPr>
      <w:r>
        <w:rPr>
          <w:rFonts w:ascii="Calibri" w:hAnsi="Calibri" w:eastAsia="Noto Sans SC"/>
          <w:color w:val="2A2422"/>
          <w:sz w:val="21"/>
        </w:rPr>
        <w:t>Open simulated history and say the word ‘simulated’ before any trend statement. Then show sharing off, the separate grant and the preview-only check-in.</w:t>
      </w:r>
    </w:p>
    <w:p>
      <w:pPr>
        <w:pStyle w:val="Heading2"/>
      </w:pPr>
      <w:r>
        <w:t>Failure ladder</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1800"/>
        <w:gridCol w:w="3400"/>
        <w:gridCol w:w="4160"/>
      </w:tblGrid>
      <w:tr>
        <w:trPr>
          <w:tblHeader w:val="true"/>
        </w:trPr>
        <w:tc>
          <w:tcPr>
            <w:tcW w:type="dxa" w:w="1800"/>
            <w:vAlign w:val="center"/>
            <w:tcMar>
              <w:top w:w="80" w:type="dxa"/>
              <w:start w:w="120" w:type="dxa"/>
              <w:bottom w:w="80" w:type="dxa"/>
              <w:end w:w="120" w:type="dxa"/>
            </w:tcMar>
            <w:shd w:fill="EDF2F5"/>
          </w:tcPr>
          <w:p>
            <w:pPr>
              <w:pStyle w:val="TableText"/>
              <w:spacing w:after="0"/>
              <w:jc w:val="center"/>
            </w:pPr>
            <w:r>
              <w:rPr>
                <w:rFonts w:ascii="Calibri" w:hAnsi="Calibri" w:eastAsia="Noto Sans SC"/>
                <w:b/>
                <w:color w:val="5F241C"/>
                <w:sz w:val="18"/>
              </w:rPr>
              <w:t>Failure</w:t>
            </w:r>
          </w:p>
        </w:tc>
        <w:tc>
          <w:tcPr>
            <w:tcW w:type="dxa" w:w="3400"/>
            <w:vAlign w:val="center"/>
            <w:tcMar>
              <w:top w:w="80" w:type="dxa"/>
              <w:start w:w="120" w:type="dxa"/>
              <w:bottom w:w="80" w:type="dxa"/>
              <w:end w:w="120" w:type="dxa"/>
            </w:tcMar>
            <w:shd w:fill="EDF2F5"/>
          </w:tcPr>
          <w:p>
            <w:pPr>
              <w:pStyle w:val="TableText"/>
              <w:spacing w:after="0"/>
              <w:jc w:val="center"/>
            </w:pPr>
            <w:r>
              <w:rPr>
                <w:rFonts w:ascii="Calibri" w:hAnsi="Calibri" w:eastAsia="Noto Sans SC"/>
                <w:b/>
                <w:color w:val="5F241C"/>
                <w:sz w:val="18"/>
              </w:rPr>
              <w:t>Say</w:t>
            </w:r>
          </w:p>
        </w:tc>
        <w:tc>
          <w:tcPr>
            <w:tcW w:type="dxa" w:w="4160"/>
            <w:vAlign w:val="center"/>
            <w:tcMar>
              <w:top w:w="80" w:type="dxa"/>
              <w:start w:w="120" w:type="dxa"/>
              <w:bottom w:w="80" w:type="dxa"/>
              <w:end w:w="120" w:type="dxa"/>
            </w:tcMar>
            <w:shd w:fill="EDF2F5"/>
          </w:tcPr>
          <w:p>
            <w:pPr>
              <w:pStyle w:val="TableText"/>
              <w:spacing w:after="0"/>
              <w:jc w:val="center"/>
            </w:pPr>
            <w:r>
              <w:rPr>
                <w:rFonts w:ascii="Calibri" w:hAnsi="Calibri" w:eastAsia="Noto Sans SC"/>
                <w:b/>
                <w:color w:val="5F241C"/>
                <w:sz w:val="18"/>
              </w:rPr>
              <w:t>Do</w:t>
            </w:r>
          </w:p>
        </w:tc>
      </w:tr>
      <w:tr>
        <w:tc>
          <w:tcPr>
            <w:tcW w:type="dxa" w:w="1800"/>
          </w:tcPr>
          <w:p>
            <w:pPr>
              <w:pStyle w:val="TableText"/>
              <w:spacing w:after="0"/>
              <w:jc w:val="left"/>
            </w:pPr>
            <w:r>
              <w:rPr>
                <w:rFonts w:ascii="Calibri" w:hAnsi="Calibri" w:eastAsia="Noto Sans SC"/>
                <w:b w:val="0"/>
                <w:color w:val="2A2422"/>
                <w:sz w:val="17"/>
              </w:rPr>
              <w:t>Camera does not initialise</w:t>
            </w:r>
          </w:p>
        </w:tc>
        <w:tc>
          <w:tcPr>
            <w:tcW w:type="dxa" w:w="3400"/>
          </w:tcPr>
          <w:p>
            <w:pPr>
              <w:pStyle w:val="TableText"/>
              <w:spacing w:after="0"/>
              <w:jc w:val="left"/>
            </w:pPr>
            <w:r>
              <w:rPr>
                <w:rFonts w:ascii="Calibri" w:hAnsi="Calibri" w:eastAsia="Noto Sans SC"/>
                <w:b w:val="0"/>
                <w:color w:val="2A2422"/>
                <w:sz w:val="17"/>
              </w:rPr>
              <w:t>‘The camera path is unavailable, so I’m switching to our labelled fallback.’</w:t>
            </w:r>
          </w:p>
        </w:tc>
        <w:tc>
          <w:tcPr>
            <w:tcW w:type="dxa" w:w="4160"/>
          </w:tcPr>
          <w:p>
            <w:pPr>
              <w:pStyle w:val="TableText"/>
              <w:spacing w:after="0"/>
              <w:jc w:val="left"/>
            </w:pPr>
            <w:r>
              <w:rPr>
                <w:rFonts w:ascii="Calibri" w:hAnsi="Calibri" w:eastAsia="Noto Sans SC"/>
                <w:b w:val="0"/>
                <w:color w:val="2A2422"/>
                <w:sz w:val="17"/>
              </w:rPr>
              <w:t>Use the deterministic landmark replay; keep the SIMULATED badge visible.</w:t>
            </w:r>
          </w:p>
        </w:tc>
      </w:tr>
      <w:tr>
        <w:tc>
          <w:tcPr>
            <w:tcW w:type="dxa" w:w="1800"/>
          </w:tcPr>
          <w:p>
            <w:pPr>
              <w:pStyle w:val="TableText"/>
              <w:spacing w:after="0"/>
              <w:jc w:val="left"/>
            </w:pPr>
            <w:r>
              <w:rPr>
                <w:rFonts w:ascii="Calibri" w:hAnsi="Calibri" w:eastAsia="Noto Sans SC"/>
                <w:b w:val="0"/>
                <w:color w:val="2A2422"/>
                <w:sz w:val="17"/>
              </w:rPr>
              <w:t>Tracking is poor</w:t>
            </w:r>
          </w:p>
        </w:tc>
        <w:tc>
          <w:tcPr>
            <w:tcW w:type="dxa" w:w="3400"/>
          </w:tcPr>
          <w:p>
            <w:pPr>
              <w:pStyle w:val="TableText"/>
              <w:spacing w:after="0"/>
              <w:jc w:val="left"/>
            </w:pPr>
            <w:r>
              <w:rPr>
                <w:rFonts w:ascii="Calibri" w:hAnsi="Calibri" w:eastAsia="Noto Sans SC"/>
                <w:b w:val="0"/>
                <w:color w:val="2A2422"/>
                <w:sz w:val="17"/>
              </w:rPr>
              <w:t>‘This is the safety behaviour: unclear input is not scored.’</w:t>
            </w:r>
          </w:p>
        </w:tc>
        <w:tc>
          <w:tcPr>
            <w:tcW w:type="dxa" w:w="4160"/>
          </w:tcPr>
          <w:p>
            <w:pPr>
              <w:pStyle w:val="TableText"/>
              <w:spacing w:after="0"/>
              <w:jc w:val="left"/>
            </w:pPr>
            <w:r>
              <w:rPr>
                <w:rFonts w:ascii="Calibri" w:hAnsi="Calibri" w:eastAsia="Noto Sans SC"/>
                <w:b w:val="0"/>
                <w:color w:val="2A2422"/>
                <w:sz w:val="17"/>
              </w:rPr>
              <w:t>Show recovery once; if it persists, switch to backup without apology loops.</w:t>
            </w:r>
          </w:p>
        </w:tc>
      </w:tr>
      <w:tr>
        <w:tc>
          <w:tcPr>
            <w:tcW w:type="dxa" w:w="1800"/>
          </w:tcPr>
          <w:p>
            <w:pPr>
              <w:pStyle w:val="TableText"/>
              <w:spacing w:after="0"/>
              <w:jc w:val="left"/>
            </w:pPr>
            <w:r>
              <w:rPr>
                <w:rFonts w:ascii="Calibri" w:hAnsi="Calibri" w:eastAsia="Noto Sans SC"/>
                <w:b w:val="0"/>
                <w:color w:val="2A2422"/>
                <w:sz w:val="17"/>
              </w:rPr>
              <w:t>Audio fails</w:t>
            </w:r>
          </w:p>
        </w:tc>
        <w:tc>
          <w:tcPr>
            <w:tcW w:type="dxa" w:w="3400"/>
          </w:tcPr>
          <w:p>
            <w:pPr>
              <w:pStyle w:val="TableText"/>
              <w:spacing w:after="0"/>
              <w:jc w:val="left"/>
            </w:pPr>
            <w:r>
              <w:rPr>
                <w:rFonts w:ascii="Calibri" w:hAnsi="Calibri" w:eastAsia="Noto Sans SC"/>
                <w:b w:val="0"/>
                <w:color w:val="2A2422"/>
                <w:sz w:val="17"/>
              </w:rPr>
              <w:t>‘The build stops scored cues rather than silently changing clocks.’</w:t>
            </w:r>
          </w:p>
        </w:tc>
        <w:tc>
          <w:tcPr>
            <w:tcW w:type="dxa" w:w="4160"/>
          </w:tcPr>
          <w:p>
            <w:pPr>
              <w:pStyle w:val="TableText"/>
              <w:spacing w:after="0"/>
              <w:jc w:val="left"/>
            </w:pPr>
            <w:r>
              <w:rPr>
                <w:rFonts w:ascii="Calibri" w:hAnsi="Calibri" w:eastAsia="Noto Sans SC"/>
                <w:b w:val="0"/>
                <w:color w:val="2A2422"/>
                <w:sz w:val="17"/>
              </w:rPr>
              <w:t>Use the recorded demo. Do not continue corrupted timing.</w:t>
            </w:r>
          </w:p>
        </w:tc>
      </w:tr>
      <w:tr>
        <w:tc>
          <w:tcPr>
            <w:tcW w:type="dxa" w:w="1800"/>
          </w:tcPr>
          <w:p>
            <w:pPr>
              <w:pStyle w:val="TableText"/>
              <w:spacing w:after="0"/>
              <w:jc w:val="left"/>
            </w:pPr>
            <w:r>
              <w:rPr>
                <w:rFonts w:ascii="Calibri" w:hAnsi="Calibri" w:eastAsia="Noto Sans SC"/>
                <w:b w:val="0"/>
                <w:color w:val="2A2422"/>
                <w:sz w:val="17"/>
              </w:rPr>
              <w:t>Network fails</w:t>
            </w:r>
          </w:p>
        </w:tc>
        <w:tc>
          <w:tcPr>
            <w:tcW w:type="dxa" w:w="3400"/>
          </w:tcPr>
          <w:p>
            <w:pPr>
              <w:pStyle w:val="TableText"/>
              <w:spacing w:after="0"/>
              <w:jc w:val="left"/>
            </w:pPr>
            <w:r>
              <w:rPr>
                <w:rFonts w:ascii="Calibri" w:hAnsi="Calibri" w:eastAsia="Noto Sans SC"/>
                <w:b w:val="0"/>
                <w:color w:val="2A2422"/>
                <w:sz w:val="17"/>
              </w:rPr>
              <w:t>‘The core is local-first; this backup is already on the laptop.’</w:t>
            </w:r>
          </w:p>
        </w:tc>
        <w:tc>
          <w:tcPr>
            <w:tcW w:type="dxa" w:w="4160"/>
          </w:tcPr>
          <w:p>
            <w:pPr>
              <w:pStyle w:val="TableText"/>
              <w:spacing w:after="0"/>
              <w:jc w:val="left"/>
            </w:pPr>
            <w:r>
              <w:rPr>
                <w:rFonts w:ascii="Calibri" w:hAnsi="Calibri" w:eastAsia="Noto Sans SC"/>
                <w:b w:val="0"/>
                <w:color w:val="2A2422"/>
                <w:sz w:val="17"/>
              </w:rPr>
              <w:t>Use local production build or recording; do not troubleshoot Wi-Fi on stage.</w:t>
            </w:r>
          </w:p>
        </w:tc>
      </w:tr>
      <w:tr>
        <w:tc>
          <w:tcPr>
            <w:tcW w:type="dxa" w:w="1800"/>
          </w:tcPr>
          <w:p>
            <w:pPr>
              <w:pStyle w:val="TableText"/>
              <w:spacing w:after="0"/>
              <w:jc w:val="left"/>
            </w:pPr>
            <w:r>
              <w:rPr>
                <w:rFonts w:ascii="Calibri" w:hAnsi="Calibri" w:eastAsia="Noto Sans SC"/>
                <w:b w:val="0"/>
                <w:color w:val="2A2422"/>
                <w:sz w:val="17"/>
              </w:rPr>
              <w:t>Running late</w:t>
            </w:r>
          </w:p>
        </w:tc>
        <w:tc>
          <w:tcPr>
            <w:tcW w:type="dxa" w:w="3400"/>
          </w:tcPr>
          <w:p>
            <w:pPr>
              <w:pStyle w:val="TableText"/>
              <w:spacing w:after="0"/>
              <w:jc w:val="left"/>
            </w:pPr>
            <w:r>
              <w:rPr>
                <w:rFonts w:ascii="Calibri" w:hAnsi="Calibri" w:eastAsia="Noto Sans SC"/>
                <w:b w:val="0"/>
                <w:color w:val="2A2422"/>
                <w:sz w:val="17"/>
              </w:rPr>
              <w:t>‘Let me jump to what the player sees after a clear session.’</w:t>
            </w:r>
          </w:p>
        </w:tc>
        <w:tc>
          <w:tcPr>
            <w:tcW w:type="dxa" w:w="4160"/>
          </w:tcPr>
          <w:p>
            <w:pPr>
              <w:pStyle w:val="TableText"/>
              <w:spacing w:after="0"/>
              <w:jc w:val="left"/>
            </w:pPr>
            <w:r>
              <w:rPr>
                <w:rFonts w:ascii="Calibri" w:hAnsi="Calibri" w:eastAsia="Noto Sans SC"/>
                <w:b w:val="0"/>
                <w:color w:val="2A2422"/>
                <w:sz w:val="17"/>
              </w:rPr>
              <w:t>Cut trend detail, never the why-AI line or the final close.</w:t>
            </w:r>
          </w:p>
        </w:tc>
      </w:tr>
    </w:tbl>
    <w:p>
      <w:pPr>
        <w:spacing w:after="20"/>
      </w:pPr>
    </w:p>
    <w:p>
      <w:pPr>
        <w:spacing w:before="80" w:after="180" w:line="283" w:lineRule="auto"/>
        <w:ind w:left="187" w:right="115"/>
        <w:shd w:fill="F7EDEA"/>
        <w:pBdr>
          <w:left w:val="single" w:sz="14" w:space="8" w:color="9B1C1C"/>
        </w:pBdr>
      </w:pPr>
      <w:r>
        <w:rPr>
          <w:rFonts w:ascii="Calibri" w:hAnsi="Calibri" w:eastAsia="Noto Sans SC"/>
          <w:b/>
          <w:color w:val="5F241C"/>
          <w:sz w:val="21"/>
        </w:rPr>
        <w:t xml:space="preserve">Integrity rule: </w:t>
      </w:r>
      <w:r>
        <w:rPr>
          <w:rFonts w:ascii="Calibri" w:hAnsi="Calibri" w:eastAsia="Noto Sans SC"/>
          <w:color w:val="2A2422"/>
          <w:sz w:val="21"/>
        </w:rPr>
        <w:t>Never present the deterministic spectator replay as a live camera. Its visible SIMULATED label is a strength: it proves the team designed an honest venue fallback.</w:t>
      </w:r>
    </w:p>
    <w:p>
      <w:pPr>
        <w:pStyle w:val="Heading2"/>
      </w:pPr>
      <w:r>
        <w:t>Stage kit</w:t>
      </w:r>
    </w:p>
    <w:p>
      <w:pPr>
        <w:numPr>
          <w:ilvl w:val="0"/>
          <w:numId w:val="10"/>
        </w:numPr>
        <w:spacing w:after="80" w:line="300" w:lineRule="auto"/>
      </w:pPr>
      <w:r>
        <w:rPr>
          <w:rFonts w:ascii="Calibri" w:hAnsi="Calibri" w:eastAsia="Noto Sans SC"/>
          <w:color w:val="2A2422"/>
          <w:sz w:val="21"/>
        </w:rPr>
        <w:t>Demo laptop, charger, webcam and fixed camera mark; disable notifications, sleep and automatic updates.</w:t>
      </w:r>
    </w:p>
    <w:p>
      <w:pPr>
        <w:numPr>
          <w:ilvl w:val="0"/>
          <w:numId w:val="10"/>
        </w:numPr>
        <w:spacing w:after="80" w:line="300" w:lineRule="auto"/>
      </w:pPr>
      <w:r>
        <w:rPr>
          <w:rFonts w:ascii="Calibri" w:hAnsi="Calibri" w:eastAsia="Noto Sans SC"/>
          <w:color w:val="2A2422"/>
          <w:sz w:val="21"/>
        </w:rPr>
        <w:t>Local production build; recorded full demo; screenshots of disclosure, result, simulated trend, consent and architecture.</w:t>
      </w:r>
    </w:p>
    <w:p>
      <w:pPr>
        <w:numPr>
          <w:ilvl w:val="0"/>
          <w:numId w:val="10"/>
        </w:numPr>
        <w:spacing w:after="80" w:line="300" w:lineRule="auto"/>
      </w:pPr>
      <w:r>
        <w:rPr>
          <w:rFonts w:ascii="Calibri" w:hAnsi="Calibri" w:eastAsia="Noto Sans SC"/>
          <w:color w:val="2A2422"/>
          <w:sz w:val="21"/>
        </w:rPr>
        <w:t>A clean browser profile, offline copy of the deck, HDMI/USB-C adapters, clicker and a printed one-page run sheet.</w:t>
      </w:r>
    </w:p>
    <w:p>
      <w:pPr>
        <w:numPr>
          <w:ilvl w:val="0"/>
          <w:numId w:val="10"/>
        </w:numPr>
        <w:spacing w:after="80" w:line="300" w:lineRule="auto"/>
      </w:pPr>
      <w:r>
        <w:rPr>
          <w:rFonts w:ascii="Calibri" w:hAnsi="Calibri" w:eastAsia="Noto Sans SC"/>
          <w:color w:val="2A2422"/>
          <w:sz w:val="21"/>
        </w:rPr>
        <w:t>One operator call: ‘live’, ‘fallback’ or ‘close’. Avoid whispered debugging between teammates.</w:t>
      </w:r>
    </w:p>
    <w:p>
      <w:pPr>
        <w:pStyle w:val="Heading1"/>
      </w:pPr>
      <w:r>
        <w:t>6. Technical defence slide</w:t>
      </w:r>
    </w:p>
    <w:p>
      <w:pPr>
        <w:spacing w:before="80" w:after="180" w:line="283" w:lineRule="auto"/>
        <w:ind w:left="187" w:right="115"/>
        <w:shd w:fill="FAF3E6"/>
        <w:pBdr>
          <w:left w:val="single" w:sz="14" w:space="8" w:color="B9822F"/>
        </w:pBdr>
      </w:pPr>
      <w:r>
        <w:rPr>
          <w:rFonts w:ascii="Calibri" w:hAnsi="Calibri" w:eastAsia="Noto Sans SC"/>
          <w:b/>
          <w:color w:val="5F241C"/>
          <w:sz w:val="21"/>
        </w:rPr>
        <w:t xml:space="preserve">The clean answer: </w:t>
      </w:r>
      <w:r>
        <w:rPr>
          <w:rFonts w:ascii="Calibri" w:hAnsi="Calibri" w:eastAsia="Noto Sans SC"/>
          <w:color w:val="2A2422"/>
          <w:sz w:val="21"/>
        </w:rPr>
        <w:t>AI estimates landmarks. Deterministic rules turn landmarks into game events. A robust statistical prototype summarises repeated personal change. No LLM produces health conclusions.</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1550"/>
        <w:gridCol w:w="3350"/>
        <w:gridCol w:w="1750"/>
        <w:gridCol w:w="2710"/>
      </w:tblGrid>
      <w:tr>
        <w:trPr>
          <w:tblHeader w:val="true"/>
        </w:trPr>
        <w:tc>
          <w:tcPr>
            <w:tcW w:type="dxa" w:w="1550"/>
            <w:vAlign w:val="center"/>
            <w:tcMar>
              <w:top w:w="80" w:type="dxa"/>
              <w:start w:w="120" w:type="dxa"/>
              <w:bottom w:w="80" w:type="dxa"/>
              <w:end w:w="120" w:type="dxa"/>
            </w:tcMar>
            <w:shd w:fill="F7EDEA"/>
          </w:tcPr>
          <w:p>
            <w:pPr>
              <w:pStyle w:val="TableText"/>
              <w:spacing w:after="0"/>
              <w:jc w:val="center"/>
            </w:pPr>
            <w:r>
              <w:rPr>
                <w:rFonts w:ascii="Calibri" w:hAnsi="Calibri" w:eastAsia="Noto Sans SC"/>
                <w:b/>
                <w:color w:val="5F241C"/>
                <w:sz w:val="18"/>
              </w:rPr>
              <w:t>Stage</w:t>
            </w:r>
          </w:p>
        </w:tc>
        <w:tc>
          <w:tcPr>
            <w:tcW w:type="dxa" w:w="3350"/>
            <w:vAlign w:val="center"/>
            <w:tcMar>
              <w:top w:w="80" w:type="dxa"/>
              <w:start w:w="120" w:type="dxa"/>
              <w:bottom w:w="80" w:type="dxa"/>
              <w:end w:w="120" w:type="dxa"/>
            </w:tcMar>
            <w:shd w:fill="F7EDEA"/>
          </w:tcPr>
          <w:p>
            <w:pPr>
              <w:pStyle w:val="TableText"/>
              <w:spacing w:after="0"/>
              <w:jc w:val="center"/>
            </w:pPr>
            <w:r>
              <w:rPr>
                <w:rFonts w:ascii="Calibri" w:hAnsi="Calibri" w:eastAsia="Noto Sans SC"/>
                <w:b/>
                <w:color w:val="5F241C"/>
                <w:sz w:val="18"/>
              </w:rPr>
              <w:t>Current implementation</w:t>
            </w:r>
          </w:p>
        </w:tc>
        <w:tc>
          <w:tcPr>
            <w:tcW w:type="dxa" w:w="1750"/>
            <w:vAlign w:val="center"/>
            <w:tcMar>
              <w:top w:w="80" w:type="dxa"/>
              <w:start w:w="120" w:type="dxa"/>
              <w:bottom w:w="80" w:type="dxa"/>
              <w:end w:w="120" w:type="dxa"/>
            </w:tcMar>
            <w:shd w:fill="F7EDEA"/>
          </w:tcPr>
          <w:p>
            <w:pPr>
              <w:pStyle w:val="TableText"/>
              <w:spacing w:after="0"/>
              <w:jc w:val="center"/>
            </w:pPr>
            <w:r>
              <w:rPr>
                <w:rFonts w:ascii="Calibri" w:hAnsi="Calibri" w:eastAsia="Noto Sans SC"/>
                <w:b/>
                <w:color w:val="5F241C"/>
                <w:sz w:val="18"/>
              </w:rPr>
              <w:t>AI or deterministic?</w:t>
            </w:r>
          </w:p>
        </w:tc>
        <w:tc>
          <w:tcPr>
            <w:tcW w:type="dxa" w:w="2710"/>
            <w:vAlign w:val="center"/>
            <w:tcMar>
              <w:top w:w="80" w:type="dxa"/>
              <w:start w:w="120" w:type="dxa"/>
              <w:bottom w:w="80" w:type="dxa"/>
              <w:end w:w="120" w:type="dxa"/>
            </w:tcMar>
            <w:shd w:fill="F7EDEA"/>
          </w:tcPr>
          <w:p>
            <w:pPr>
              <w:pStyle w:val="TableText"/>
              <w:spacing w:after="0"/>
              <w:jc w:val="center"/>
            </w:pPr>
            <w:r>
              <w:rPr>
                <w:rFonts w:ascii="Calibri" w:hAnsi="Calibri" w:eastAsia="Noto Sans SC"/>
                <w:b/>
                <w:color w:val="5F241C"/>
                <w:sz w:val="18"/>
              </w:rPr>
              <w:t>Trust boundary</w:t>
            </w:r>
          </w:p>
        </w:tc>
      </w:tr>
      <w:tr>
        <w:tc>
          <w:tcPr>
            <w:tcW w:type="dxa" w:w="1550"/>
          </w:tcPr>
          <w:p>
            <w:pPr>
              <w:pStyle w:val="TableText"/>
              <w:spacing w:after="0"/>
              <w:jc w:val="left"/>
            </w:pPr>
            <w:r>
              <w:rPr>
                <w:rFonts w:ascii="Calibri" w:hAnsi="Calibri" w:eastAsia="Noto Sans SC"/>
                <w:b w:val="0"/>
                <w:color w:val="2A2422"/>
                <w:sz w:val="16"/>
              </w:rPr>
              <w:t>1. Camera</w:t>
            </w:r>
          </w:p>
        </w:tc>
        <w:tc>
          <w:tcPr>
            <w:tcW w:type="dxa" w:w="3350"/>
          </w:tcPr>
          <w:p>
            <w:pPr>
              <w:pStyle w:val="TableText"/>
              <w:spacing w:after="0"/>
              <w:jc w:val="left"/>
            </w:pPr>
            <w:r>
              <w:rPr>
                <w:rFonts w:ascii="Calibri" w:hAnsi="Calibri" w:eastAsia="Noto Sans SC"/>
                <w:b w:val="0"/>
                <w:color w:val="2A2422"/>
                <w:sz w:val="16"/>
              </w:rPr>
              <w:t>Browser camera; frames enter only the camera/pose adapter</w:t>
            </w:r>
          </w:p>
        </w:tc>
        <w:tc>
          <w:tcPr>
            <w:tcW w:type="dxa" w:w="1750"/>
          </w:tcPr>
          <w:p>
            <w:pPr>
              <w:pStyle w:val="TableText"/>
              <w:spacing w:after="0"/>
              <w:jc w:val="left"/>
            </w:pPr>
            <w:r>
              <w:rPr>
                <w:rFonts w:ascii="Calibri" w:hAnsi="Calibri" w:eastAsia="Noto Sans SC"/>
                <w:b w:val="0"/>
                <w:color w:val="2A2422"/>
                <w:sz w:val="16"/>
              </w:rPr>
              <w:t>Input</w:t>
            </w:r>
          </w:p>
        </w:tc>
        <w:tc>
          <w:tcPr>
            <w:tcW w:type="dxa" w:w="2710"/>
          </w:tcPr>
          <w:p>
            <w:pPr>
              <w:pStyle w:val="TableText"/>
              <w:spacing w:after="0"/>
              <w:jc w:val="left"/>
            </w:pPr>
            <w:r>
              <w:rPr>
                <w:rFonts w:ascii="Calibri" w:hAnsi="Calibri" w:eastAsia="Noto Sans SC"/>
                <w:b w:val="0"/>
                <w:color w:val="2A2422"/>
                <w:sz w:val="16"/>
              </w:rPr>
              <w:t>Frames remain in memory and are discarded</w:t>
            </w:r>
          </w:p>
        </w:tc>
      </w:tr>
      <w:tr>
        <w:tc>
          <w:tcPr>
            <w:tcW w:type="dxa" w:w="1550"/>
          </w:tcPr>
          <w:p>
            <w:pPr>
              <w:pStyle w:val="TableText"/>
              <w:spacing w:after="0"/>
              <w:jc w:val="left"/>
            </w:pPr>
            <w:r>
              <w:rPr>
                <w:rFonts w:ascii="Calibri" w:hAnsi="Calibri" w:eastAsia="Noto Sans SC"/>
                <w:b w:val="0"/>
                <w:color w:val="2A2422"/>
                <w:sz w:val="16"/>
              </w:rPr>
              <w:t>2. Perception</w:t>
            </w:r>
          </w:p>
        </w:tc>
        <w:tc>
          <w:tcPr>
            <w:tcW w:type="dxa" w:w="3350"/>
          </w:tcPr>
          <w:p>
            <w:pPr>
              <w:pStyle w:val="TableText"/>
              <w:spacing w:after="0"/>
              <w:jc w:val="left"/>
            </w:pPr>
            <w:r>
              <w:rPr>
                <w:rFonts w:ascii="Calibri" w:hAnsi="Calibri" w:eastAsia="Noto Sans SC"/>
                <w:b w:val="0"/>
                <w:color w:val="2A2422"/>
                <w:sz w:val="16"/>
              </w:rPr>
              <w:t>Self-hosted MediaPipe Pose Landmarker Lite or Hand Landmarker</w:t>
            </w:r>
          </w:p>
        </w:tc>
        <w:tc>
          <w:tcPr>
            <w:tcW w:type="dxa" w:w="1750"/>
          </w:tcPr>
          <w:p>
            <w:pPr>
              <w:pStyle w:val="TableText"/>
              <w:spacing w:after="0"/>
              <w:jc w:val="left"/>
            </w:pPr>
            <w:r>
              <w:rPr>
                <w:rFonts w:ascii="Calibri" w:hAnsi="Calibri" w:eastAsia="Noto Sans SC"/>
                <w:b w:val="0"/>
                <w:color w:val="2A2422"/>
                <w:sz w:val="16"/>
              </w:rPr>
              <w:t>Runtime AI</w:t>
            </w:r>
          </w:p>
        </w:tc>
        <w:tc>
          <w:tcPr>
            <w:tcW w:type="dxa" w:w="2710"/>
          </w:tcPr>
          <w:p>
            <w:pPr>
              <w:pStyle w:val="TableText"/>
              <w:spacing w:after="0"/>
              <w:jc w:val="left"/>
            </w:pPr>
            <w:r>
              <w:rPr>
                <w:rFonts w:ascii="Calibri" w:hAnsi="Calibri" w:eastAsia="Noto Sans SC"/>
                <w:b w:val="0"/>
                <w:color w:val="2A2422"/>
                <w:sz w:val="16"/>
              </w:rPr>
              <w:t>Standing and seated providers run separately; one primary player</w:t>
            </w:r>
          </w:p>
        </w:tc>
      </w:tr>
      <w:tr>
        <w:tc>
          <w:tcPr>
            <w:tcW w:type="dxa" w:w="1550"/>
          </w:tcPr>
          <w:p>
            <w:pPr>
              <w:pStyle w:val="TableText"/>
              <w:spacing w:after="0"/>
              <w:jc w:val="left"/>
            </w:pPr>
            <w:r>
              <w:rPr>
                <w:rFonts w:ascii="Calibri" w:hAnsi="Calibri" w:eastAsia="Noto Sans SC"/>
                <w:b w:val="0"/>
                <w:color w:val="2A2422"/>
                <w:sz w:val="16"/>
              </w:rPr>
              <w:t>3. Quality</w:t>
            </w:r>
          </w:p>
        </w:tc>
        <w:tc>
          <w:tcPr>
            <w:tcW w:type="dxa" w:w="3350"/>
          </w:tcPr>
          <w:p>
            <w:pPr>
              <w:pStyle w:val="TableText"/>
              <w:spacing w:after="0"/>
              <w:jc w:val="left"/>
            </w:pPr>
            <w:r>
              <w:rPr>
                <w:rFonts w:ascii="Calibri" w:hAnsi="Calibri" w:eastAsia="Noto Sans SC"/>
                <w:b w:val="0"/>
                <w:color w:val="2A2422"/>
                <w:sz w:val="16"/>
              </w:rPr>
              <w:t>Confidence, identity and scoreability gates</w:t>
            </w:r>
          </w:p>
        </w:tc>
        <w:tc>
          <w:tcPr>
            <w:tcW w:type="dxa" w:w="1750"/>
          </w:tcPr>
          <w:p>
            <w:pPr>
              <w:pStyle w:val="TableText"/>
              <w:spacing w:after="0"/>
              <w:jc w:val="left"/>
            </w:pPr>
            <w:r>
              <w:rPr>
                <w:rFonts w:ascii="Calibri" w:hAnsi="Calibri" w:eastAsia="Noto Sans SC"/>
                <w:b w:val="0"/>
                <w:color w:val="2A2422"/>
                <w:sz w:val="16"/>
              </w:rPr>
              <w:t>Deterministic</w:t>
            </w:r>
          </w:p>
        </w:tc>
        <w:tc>
          <w:tcPr>
            <w:tcW w:type="dxa" w:w="2710"/>
          </w:tcPr>
          <w:p>
            <w:pPr>
              <w:pStyle w:val="TableText"/>
              <w:spacing w:after="0"/>
              <w:jc w:val="left"/>
            </w:pPr>
            <w:r>
              <w:rPr>
                <w:rFonts w:ascii="Calibri" w:hAnsi="Calibri" w:eastAsia="Noto Sans SC"/>
                <w:b w:val="0"/>
                <w:color w:val="2A2422"/>
                <w:sz w:val="16"/>
              </w:rPr>
              <w:t>Unclear or overlapping input is unscoreable</w:t>
            </w:r>
          </w:p>
        </w:tc>
      </w:tr>
      <w:tr>
        <w:tc>
          <w:tcPr>
            <w:tcW w:type="dxa" w:w="1550"/>
          </w:tcPr>
          <w:p>
            <w:pPr>
              <w:pStyle w:val="TableText"/>
              <w:spacing w:after="0"/>
              <w:jc w:val="left"/>
            </w:pPr>
            <w:r>
              <w:rPr>
                <w:rFonts w:ascii="Calibri" w:hAnsi="Calibri" w:eastAsia="Noto Sans SC"/>
                <w:b w:val="0"/>
                <w:color w:val="2A2422"/>
                <w:sz w:val="16"/>
              </w:rPr>
              <w:t>4. Movement</w:t>
            </w:r>
          </w:p>
        </w:tc>
        <w:tc>
          <w:tcPr>
            <w:tcW w:type="dxa" w:w="3350"/>
          </w:tcPr>
          <w:p>
            <w:pPr>
              <w:pStyle w:val="TableText"/>
              <w:spacing w:after="0"/>
              <w:jc w:val="left"/>
            </w:pPr>
            <w:r>
              <w:rPr>
                <w:rFonts w:ascii="Calibri" w:hAnsi="Calibri" w:eastAsia="Noto Sans SC"/>
                <w:b w:val="0"/>
                <w:color w:val="2A2422"/>
                <w:sz w:val="16"/>
              </w:rPr>
              <w:t>Provider-neutral standing and seated classifiers</w:t>
            </w:r>
          </w:p>
        </w:tc>
        <w:tc>
          <w:tcPr>
            <w:tcW w:type="dxa" w:w="1750"/>
          </w:tcPr>
          <w:p>
            <w:pPr>
              <w:pStyle w:val="TableText"/>
              <w:spacing w:after="0"/>
              <w:jc w:val="left"/>
            </w:pPr>
            <w:r>
              <w:rPr>
                <w:rFonts w:ascii="Calibri" w:hAnsi="Calibri" w:eastAsia="Noto Sans SC"/>
                <w:b w:val="0"/>
                <w:color w:val="2A2422"/>
                <w:sz w:val="16"/>
              </w:rPr>
              <w:t>Deterministic</w:t>
            </w:r>
          </w:p>
        </w:tc>
        <w:tc>
          <w:tcPr>
            <w:tcW w:type="dxa" w:w="2710"/>
          </w:tcPr>
          <w:p>
            <w:pPr>
              <w:pStyle w:val="TableText"/>
              <w:spacing w:after="0"/>
              <w:jc w:val="left"/>
            </w:pPr>
            <w:r>
              <w:rPr>
                <w:rFonts w:ascii="Calibri" w:hAnsi="Calibri" w:eastAsia="Noto Sans SC"/>
                <w:b w:val="0"/>
                <w:color w:val="2A2422"/>
                <w:sz w:val="16"/>
              </w:rPr>
              <w:t>Gentle thresholds; neutral return re-arms the next event</w:t>
            </w:r>
          </w:p>
        </w:tc>
      </w:tr>
      <w:tr>
        <w:tc>
          <w:tcPr>
            <w:tcW w:type="dxa" w:w="1550"/>
          </w:tcPr>
          <w:p>
            <w:pPr>
              <w:pStyle w:val="TableText"/>
              <w:spacing w:after="0"/>
              <w:jc w:val="left"/>
            </w:pPr>
            <w:r>
              <w:rPr>
                <w:rFonts w:ascii="Calibri" w:hAnsi="Calibri" w:eastAsia="Noto Sans SC"/>
                <w:b w:val="0"/>
                <w:color w:val="2A2422"/>
                <w:sz w:val="16"/>
              </w:rPr>
              <w:t>5. Rhythm</w:t>
            </w:r>
          </w:p>
        </w:tc>
        <w:tc>
          <w:tcPr>
            <w:tcW w:type="dxa" w:w="3350"/>
          </w:tcPr>
          <w:p>
            <w:pPr>
              <w:pStyle w:val="TableText"/>
              <w:spacing w:after="0"/>
              <w:jc w:val="left"/>
            </w:pPr>
            <w:r>
              <w:rPr>
                <w:rFonts w:ascii="Calibri" w:hAnsi="Calibri" w:eastAsia="Noto Sans SC"/>
                <w:b w:val="0"/>
                <w:color w:val="2A2422"/>
                <w:sz w:val="16"/>
              </w:rPr>
              <w:t>Authored chart and Web Audio monotonic clock</w:t>
            </w:r>
          </w:p>
        </w:tc>
        <w:tc>
          <w:tcPr>
            <w:tcW w:type="dxa" w:w="1750"/>
          </w:tcPr>
          <w:p>
            <w:pPr>
              <w:pStyle w:val="TableText"/>
              <w:spacing w:after="0"/>
              <w:jc w:val="left"/>
            </w:pPr>
            <w:r>
              <w:rPr>
                <w:rFonts w:ascii="Calibri" w:hAnsi="Calibri" w:eastAsia="Noto Sans SC"/>
                <w:b w:val="0"/>
                <w:color w:val="2A2422"/>
                <w:sz w:val="16"/>
              </w:rPr>
              <w:t>Deterministic</w:t>
            </w:r>
          </w:p>
        </w:tc>
        <w:tc>
          <w:tcPr>
            <w:tcW w:type="dxa" w:w="2710"/>
          </w:tcPr>
          <w:p>
            <w:pPr>
              <w:pStyle w:val="TableText"/>
              <w:spacing w:after="0"/>
              <w:jc w:val="left"/>
            </w:pPr>
            <w:r>
              <w:rPr>
                <w:rFonts w:ascii="Calibri" w:hAnsi="Calibri" w:eastAsia="Noto Sans SC"/>
                <w:b w:val="0"/>
                <w:color w:val="2A2422"/>
                <w:sz w:val="16"/>
              </w:rPr>
              <w:t>Warm-up excluded; audio faults invalidate trend input</w:t>
            </w:r>
          </w:p>
        </w:tc>
      </w:tr>
      <w:tr>
        <w:tc>
          <w:tcPr>
            <w:tcW w:type="dxa" w:w="1550"/>
          </w:tcPr>
          <w:p>
            <w:pPr>
              <w:pStyle w:val="TableText"/>
              <w:spacing w:after="0"/>
              <w:jc w:val="left"/>
            </w:pPr>
            <w:r>
              <w:rPr>
                <w:rFonts w:ascii="Calibri" w:hAnsi="Calibri" w:eastAsia="Noto Sans SC"/>
                <w:b w:val="0"/>
                <w:color w:val="2A2422"/>
                <w:sz w:val="16"/>
              </w:rPr>
              <w:t>6. Summary</w:t>
            </w:r>
          </w:p>
        </w:tc>
        <w:tc>
          <w:tcPr>
            <w:tcW w:type="dxa" w:w="3350"/>
          </w:tcPr>
          <w:p>
            <w:pPr>
              <w:pStyle w:val="TableText"/>
              <w:spacing w:after="0"/>
              <w:jc w:val="left"/>
            </w:pPr>
            <w:r>
              <w:rPr>
                <w:rFonts w:ascii="Calibri" w:hAnsi="Calibri" w:eastAsia="Noto Sans SC"/>
                <w:b w:val="0"/>
                <w:color w:val="2A2422"/>
                <w:sz w:val="16"/>
              </w:rPr>
              <w:t>Derived session summary in IndexedDB</w:t>
            </w:r>
          </w:p>
        </w:tc>
        <w:tc>
          <w:tcPr>
            <w:tcW w:type="dxa" w:w="1750"/>
          </w:tcPr>
          <w:p>
            <w:pPr>
              <w:pStyle w:val="TableText"/>
              <w:spacing w:after="0"/>
              <w:jc w:val="left"/>
            </w:pPr>
            <w:r>
              <w:rPr>
                <w:rFonts w:ascii="Calibri" w:hAnsi="Calibri" w:eastAsia="Noto Sans SC"/>
                <w:b w:val="0"/>
                <w:color w:val="2A2422"/>
                <w:sz w:val="16"/>
              </w:rPr>
              <w:t>Deterministic</w:t>
            </w:r>
          </w:p>
        </w:tc>
        <w:tc>
          <w:tcPr>
            <w:tcW w:type="dxa" w:w="2710"/>
          </w:tcPr>
          <w:p>
            <w:pPr>
              <w:pStyle w:val="TableText"/>
              <w:spacing w:after="0"/>
              <w:jc w:val="left"/>
            </w:pPr>
            <w:r>
              <w:rPr>
                <w:rFonts w:ascii="Calibri" w:hAnsi="Calibri" w:eastAsia="Noto Sans SC"/>
                <w:b w:val="0"/>
                <w:color w:val="2A2422"/>
                <w:sz w:val="16"/>
              </w:rPr>
              <w:t>No frames or landmarks are persisted</w:t>
            </w:r>
          </w:p>
        </w:tc>
      </w:tr>
      <w:tr>
        <w:tc>
          <w:tcPr>
            <w:tcW w:type="dxa" w:w="1550"/>
          </w:tcPr>
          <w:p>
            <w:pPr>
              <w:pStyle w:val="TableText"/>
              <w:spacing w:after="0"/>
              <w:jc w:val="left"/>
            </w:pPr>
            <w:r>
              <w:rPr>
                <w:rFonts w:ascii="Calibri" w:hAnsi="Calibri" w:eastAsia="Noto Sans SC"/>
                <w:b w:val="0"/>
                <w:color w:val="2A2422"/>
                <w:sz w:val="16"/>
              </w:rPr>
              <w:t>7. Trend</w:t>
            </w:r>
          </w:p>
        </w:tc>
        <w:tc>
          <w:tcPr>
            <w:tcW w:type="dxa" w:w="3350"/>
          </w:tcPr>
          <w:p>
            <w:pPr>
              <w:pStyle w:val="TableText"/>
              <w:spacing w:after="0"/>
              <w:jc w:val="left"/>
            </w:pPr>
            <w:r>
              <w:rPr>
                <w:rFonts w:ascii="Calibri" w:hAnsi="Calibri" w:eastAsia="Noto Sans SC"/>
                <w:b w:val="0"/>
                <w:color w:val="2A2422"/>
                <w:sz w:val="16"/>
              </w:rPr>
              <w:t>First five valid sessions → median and MAD; repeated change rule</w:t>
            </w:r>
          </w:p>
        </w:tc>
        <w:tc>
          <w:tcPr>
            <w:tcW w:type="dxa" w:w="1750"/>
          </w:tcPr>
          <w:p>
            <w:pPr>
              <w:pStyle w:val="TableText"/>
              <w:spacing w:after="0"/>
              <w:jc w:val="left"/>
            </w:pPr>
            <w:r>
              <w:rPr>
                <w:rFonts w:ascii="Calibri" w:hAnsi="Calibri" w:eastAsia="Noto Sans SC"/>
                <w:b w:val="0"/>
                <w:color w:val="2A2422"/>
                <w:sz w:val="16"/>
              </w:rPr>
              <w:t>Robust statistics</w:t>
            </w:r>
          </w:p>
        </w:tc>
        <w:tc>
          <w:tcPr>
            <w:tcW w:type="dxa" w:w="2710"/>
          </w:tcPr>
          <w:p>
            <w:pPr>
              <w:pStyle w:val="TableText"/>
              <w:spacing w:after="0"/>
              <w:jc w:val="left"/>
            </w:pPr>
            <w:r>
              <w:rPr>
                <w:rFonts w:ascii="Calibri" w:hAnsi="Calibri" w:eastAsia="Noto Sans SC"/>
                <w:b w:val="0"/>
                <w:color w:val="2A2422"/>
                <w:sz w:val="16"/>
              </w:rPr>
              <w:t>Mode/source separated; not diagnosis</w:t>
            </w:r>
          </w:p>
        </w:tc>
      </w:tr>
      <w:tr>
        <w:tc>
          <w:tcPr>
            <w:tcW w:type="dxa" w:w="1550"/>
          </w:tcPr>
          <w:p>
            <w:pPr>
              <w:pStyle w:val="TableText"/>
              <w:spacing w:after="0"/>
              <w:jc w:val="left"/>
            </w:pPr>
            <w:r>
              <w:rPr>
                <w:rFonts w:ascii="Calibri" w:hAnsi="Calibri" w:eastAsia="Noto Sans SC"/>
                <w:b w:val="0"/>
                <w:color w:val="2A2422"/>
                <w:sz w:val="16"/>
              </w:rPr>
              <w:t>8. Supporter</w:t>
            </w:r>
          </w:p>
        </w:tc>
        <w:tc>
          <w:tcPr>
            <w:tcW w:type="dxa" w:w="3350"/>
          </w:tcPr>
          <w:p>
            <w:pPr>
              <w:pStyle w:val="TableText"/>
              <w:spacing w:after="0"/>
              <w:jc w:val="left"/>
            </w:pPr>
            <w:r>
              <w:rPr>
                <w:rFonts w:ascii="Calibri" w:hAnsi="Calibri" w:eastAsia="Noto Sans SC"/>
                <w:b w:val="0"/>
                <w:color w:val="2A2422"/>
                <w:sz w:val="16"/>
              </w:rPr>
              <w:t>Separate revocable grant and check-in preview; transport unavailable</w:t>
            </w:r>
          </w:p>
        </w:tc>
        <w:tc>
          <w:tcPr>
            <w:tcW w:type="dxa" w:w="1750"/>
          </w:tcPr>
          <w:p>
            <w:pPr>
              <w:pStyle w:val="TableText"/>
              <w:spacing w:after="0"/>
              <w:jc w:val="left"/>
            </w:pPr>
            <w:r>
              <w:rPr>
                <w:rFonts w:ascii="Calibri" w:hAnsi="Calibri" w:eastAsia="Noto Sans SC"/>
                <w:b w:val="0"/>
                <w:color w:val="2A2422"/>
                <w:sz w:val="16"/>
              </w:rPr>
              <w:t>Deterministic</w:t>
            </w:r>
          </w:p>
        </w:tc>
        <w:tc>
          <w:tcPr>
            <w:tcW w:type="dxa" w:w="2710"/>
          </w:tcPr>
          <w:p>
            <w:pPr>
              <w:pStyle w:val="TableText"/>
              <w:spacing w:after="0"/>
              <w:jc w:val="left"/>
            </w:pPr>
            <w:r>
              <w:rPr>
                <w:rFonts w:ascii="Calibri" w:hAnsi="Calibri" w:eastAsia="Noto Sans SC"/>
                <w:b w:val="0"/>
                <w:color w:val="2A2422"/>
                <w:sz w:val="16"/>
              </w:rPr>
              <w:t>Simulated data cannot send; consent rechecked before transport</w:t>
            </w:r>
          </w:p>
        </w:tc>
      </w:tr>
    </w:tbl>
    <w:p>
      <w:pPr>
        <w:spacing w:after="20"/>
      </w:pPr>
    </w:p>
    <w:p>
      <w:pPr>
        <w:pStyle w:val="Heading2"/>
      </w:pPr>
      <w:r>
        <w:t>Why this model and architecture?</w:t>
      </w:r>
    </w:p>
    <w:p>
      <w:pPr>
        <w:numPr>
          <w:ilvl w:val="0"/>
          <w:numId w:val="10"/>
        </w:numPr>
        <w:spacing w:after="80" w:line="300" w:lineRule="auto"/>
      </w:pPr>
      <w:r>
        <w:rPr>
          <w:rFonts w:ascii="Calibri" w:hAnsi="Calibri" w:eastAsia="Noto Sans SC"/>
          <w:color w:val="2A2422"/>
          <w:sz w:val="21"/>
        </w:rPr>
        <w:t>The browser target demanded low-friction deployment, a seated hand route and a strict local-camera boundary. The provider is replaceable behind an adapter.</w:t>
      </w:r>
    </w:p>
    <w:p>
      <w:pPr>
        <w:numPr>
          <w:ilvl w:val="0"/>
          <w:numId w:val="10"/>
        </w:numPr>
        <w:spacing w:after="80" w:line="300" w:lineRule="auto"/>
      </w:pPr>
      <w:r>
        <w:rPr>
          <w:rFonts w:ascii="Calibri" w:hAnsi="Calibri" w:eastAsia="Noto Sans SC"/>
          <w:color w:val="2A2422"/>
          <w:sz w:val="21"/>
        </w:rPr>
        <w:t>Self-hosted models and WebAssembly let the core work without cloud video inference after assets load; no backend is required for play.</w:t>
      </w:r>
    </w:p>
    <w:p>
      <w:pPr>
        <w:numPr>
          <w:ilvl w:val="0"/>
          <w:numId w:val="10"/>
        </w:numPr>
        <w:spacing w:after="80" w:line="300" w:lineRule="auto"/>
      </w:pPr>
      <w:r>
        <w:rPr>
          <w:rFonts w:ascii="Calibri" w:hAnsi="Calibri" w:eastAsia="Noto Sans SC"/>
          <w:color w:val="2A2422"/>
          <w:sz w:val="21"/>
        </w:rPr>
        <w:t>The recorded synthetic blank-frame timings are promising but not real-camera proof. Say exactly that if a judge asks about latency.</w:t>
      </w:r>
    </w:p>
    <w:p>
      <w:pPr>
        <w:numPr>
          <w:ilvl w:val="0"/>
          <w:numId w:val="10"/>
        </w:numPr>
        <w:spacing w:after="80" w:line="300" w:lineRule="auto"/>
      </w:pPr>
      <w:r>
        <w:rPr>
          <w:rFonts w:ascii="Calibri" w:hAnsi="Calibri" w:eastAsia="Noto Sans SC"/>
          <w:color w:val="2A2422"/>
          <w:sz w:val="21"/>
        </w:rPr>
        <w:t>A local-first core avoids inventing a per-session cloud inference cost. It does not remove future costs for support, distribution, device QA or supporter messaging.</w:t>
      </w:r>
    </w:p>
    <w:p>
      <w:pPr>
        <w:pStyle w:val="Heading1"/>
      </w:pPr>
      <w:r>
        <w:t>7. Claims ledger: green, amber, red</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1250"/>
        <w:gridCol w:w="4740"/>
        <w:gridCol w:w="3370"/>
      </w:tblGrid>
      <w:tr>
        <w:trPr>
          <w:tblHeader w:val="true"/>
        </w:trPr>
        <w:tc>
          <w:tcPr>
            <w:tcW w:type="dxa" w:w="125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Status</w:t>
            </w:r>
          </w:p>
        </w:tc>
        <w:tc>
          <w:tcPr>
            <w:tcW w:type="dxa" w:w="474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Safe wording</w:t>
            </w:r>
          </w:p>
        </w:tc>
        <w:tc>
          <w:tcPr>
            <w:tcW w:type="dxa" w:w="337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Evidence / action</w:t>
            </w:r>
          </w:p>
        </w:tc>
      </w:tr>
      <w:tr>
        <w:tc>
          <w:tcPr>
            <w:tcW w:type="dxa" w:w="1250"/>
          </w:tcPr>
          <w:p>
            <w:pPr>
              <w:pStyle w:val="TableText"/>
              <w:spacing w:after="0"/>
              <w:jc w:val="left"/>
            </w:pPr>
            <w:r>
              <w:rPr>
                <w:rFonts w:ascii="Calibri" w:hAnsi="Calibri" w:eastAsia="Noto Sans SC"/>
                <w:b w:val="0"/>
                <w:color w:val="2A2422"/>
                <w:sz w:val="16"/>
              </w:rPr>
              <w:t>GREEN</w:t>
            </w:r>
          </w:p>
        </w:tc>
        <w:tc>
          <w:tcPr>
            <w:tcW w:type="dxa" w:w="4740"/>
          </w:tcPr>
          <w:p>
            <w:pPr>
              <w:pStyle w:val="TableText"/>
              <w:spacing w:after="0"/>
              <w:jc w:val="left"/>
            </w:pPr>
            <w:r>
              <w:rPr>
                <w:rFonts w:ascii="Calibri" w:hAnsi="Calibri" w:eastAsia="Noto Sans SC"/>
                <w:b w:val="0"/>
                <w:color w:val="2A2422"/>
                <w:sz w:val="16"/>
              </w:rPr>
              <w:t>‘A working laptop-first browser vertical slice supports standing pose and seated hand/finger play.’</w:t>
            </w:r>
          </w:p>
        </w:tc>
        <w:tc>
          <w:tcPr>
            <w:tcW w:type="dxa" w:w="3370"/>
          </w:tcPr>
          <w:p>
            <w:pPr>
              <w:pStyle w:val="TableText"/>
              <w:spacing w:after="0"/>
              <w:jc w:val="left"/>
            </w:pPr>
            <w:r>
              <w:rPr>
                <w:rFonts w:ascii="Calibri" w:hAnsi="Calibri" w:eastAsia="Noto Sans SC"/>
                <w:b w:val="0"/>
                <w:color w:val="2A2422"/>
                <w:sz w:val="16"/>
              </w:rPr>
              <w:t>Implemented with unit/component and browser coverage recorded in the repository.</w:t>
            </w:r>
          </w:p>
        </w:tc>
      </w:tr>
      <w:tr>
        <w:tc>
          <w:tcPr>
            <w:tcW w:type="dxa" w:w="1250"/>
          </w:tcPr>
          <w:p>
            <w:pPr>
              <w:pStyle w:val="TableText"/>
              <w:spacing w:after="0"/>
              <w:jc w:val="left"/>
            </w:pPr>
            <w:r>
              <w:rPr>
                <w:rFonts w:ascii="Calibri" w:hAnsi="Calibri" w:eastAsia="Noto Sans SC"/>
                <w:b w:val="0"/>
                <w:color w:val="2A2422"/>
                <w:sz w:val="16"/>
              </w:rPr>
              <w:t>GREEN</w:t>
            </w:r>
          </w:p>
        </w:tc>
        <w:tc>
          <w:tcPr>
            <w:tcW w:type="dxa" w:w="4740"/>
          </w:tcPr>
          <w:p>
            <w:pPr>
              <w:pStyle w:val="TableText"/>
              <w:spacing w:after="0"/>
              <w:jc w:val="left"/>
            </w:pPr>
            <w:r>
              <w:rPr>
                <w:rFonts w:ascii="Calibri" w:hAnsi="Calibri" w:eastAsia="Noto Sans SC"/>
                <w:b w:val="0"/>
                <w:color w:val="2A2422"/>
                <w:sz w:val="16"/>
              </w:rPr>
              <w:t>‘Raw camera frames are processed in memory and discarded; derived summaries are stored locally.’</w:t>
            </w:r>
          </w:p>
        </w:tc>
        <w:tc>
          <w:tcPr>
            <w:tcW w:type="dxa" w:w="3370"/>
          </w:tcPr>
          <w:p>
            <w:pPr>
              <w:pStyle w:val="TableText"/>
              <w:spacing w:after="0"/>
              <w:jc w:val="left"/>
            </w:pPr>
            <w:r>
              <w:rPr>
                <w:rFonts w:ascii="Calibri" w:hAnsi="Calibri" w:eastAsia="Noto Sans SC"/>
                <w:b w:val="0"/>
                <w:color w:val="2A2422"/>
                <w:sz w:val="16"/>
              </w:rPr>
              <w:t>Accepted ADR and storage schema; no media fields.</w:t>
            </w:r>
          </w:p>
        </w:tc>
      </w:tr>
      <w:tr>
        <w:tc>
          <w:tcPr>
            <w:tcW w:type="dxa" w:w="1250"/>
          </w:tcPr>
          <w:p>
            <w:pPr>
              <w:pStyle w:val="TableText"/>
              <w:spacing w:after="0"/>
              <w:jc w:val="left"/>
            </w:pPr>
            <w:r>
              <w:rPr>
                <w:rFonts w:ascii="Calibri" w:hAnsi="Calibri" w:eastAsia="Noto Sans SC"/>
                <w:b w:val="0"/>
                <w:color w:val="2A2422"/>
                <w:sz w:val="16"/>
              </w:rPr>
              <w:t>GREEN</w:t>
            </w:r>
          </w:p>
        </w:tc>
        <w:tc>
          <w:tcPr>
            <w:tcW w:type="dxa" w:w="4740"/>
          </w:tcPr>
          <w:p>
            <w:pPr>
              <w:pStyle w:val="TableText"/>
              <w:spacing w:after="0"/>
              <w:jc w:val="left"/>
            </w:pPr>
            <w:r>
              <w:rPr>
                <w:rFonts w:ascii="Calibri" w:hAnsi="Calibri" w:eastAsia="Noto Sans SC"/>
                <w:b w:val="0"/>
                <w:color w:val="2A2422"/>
                <w:sz w:val="16"/>
              </w:rPr>
              <w:t>‘Simulated history is visibly labelled and excluded from real participation/trends.’</w:t>
            </w:r>
          </w:p>
        </w:tc>
        <w:tc>
          <w:tcPr>
            <w:tcW w:type="dxa" w:w="3370"/>
          </w:tcPr>
          <w:p>
            <w:pPr>
              <w:pStyle w:val="TableText"/>
              <w:spacing w:after="0"/>
              <w:jc w:val="left"/>
            </w:pPr>
            <w:r>
              <w:rPr>
                <w:rFonts w:ascii="Calibri" w:hAnsi="Calibri" w:eastAsia="Noto Sans SC"/>
                <w:b w:val="0"/>
                <w:color w:val="2A2422"/>
                <w:sz w:val="16"/>
              </w:rPr>
              <w:t>Domain, UI and browser evidence.</w:t>
            </w:r>
          </w:p>
        </w:tc>
      </w:tr>
      <w:tr>
        <w:tc>
          <w:tcPr>
            <w:tcW w:type="dxa" w:w="1250"/>
          </w:tcPr>
          <w:p>
            <w:pPr>
              <w:pStyle w:val="TableText"/>
              <w:spacing w:after="0"/>
              <w:jc w:val="left"/>
            </w:pPr>
            <w:r>
              <w:rPr>
                <w:rFonts w:ascii="Calibri" w:hAnsi="Calibri" w:eastAsia="Noto Sans SC"/>
                <w:b w:val="0"/>
                <w:color w:val="2A2422"/>
                <w:sz w:val="16"/>
              </w:rPr>
              <w:t>GREEN</w:t>
            </w:r>
          </w:p>
        </w:tc>
        <w:tc>
          <w:tcPr>
            <w:tcW w:type="dxa" w:w="4740"/>
          </w:tcPr>
          <w:p>
            <w:pPr>
              <w:pStyle w:val="TableText"/>
              <w:spacing w:after="0"/>
              <w:jc w:val="left"/>
            </w:pPr>
            <w:r>
              <w:rPr>
                <w:rFonts w:ascii="Calibri" w:hAnsi="Calibri" w:eastAsia="Noto Sans SC"/>
                <w:b w:val="0"/>
                <w:color w:val="2A2422"/>
                <w:sz w:val="16"/>
              </w:rPr>
              <w:t>‘Sharing is separate, off by default and revocable.’</w:t>
            </w:r>
          </w:p>
        </w:tc>
        <w:tc>
          <w:tcPr>
            <w:tcW w:type="dxa" w:w="3370"/>
          </w:tcPr>
          <w:p>
            <w:pPr>
              <w:pStyle w:val="TableText"/>
              <w:spacing w:after="0"/>
              <w:jc w:val="left"/>
            </w:pPr>
            <w:r>
              <w:rPr>
                <w:rFonts w:ascii="Calibri" w:hAnsi="Calibri" w:eastAsia="Noto Sans SC"/>
                <w:b w:val="0"/>
                <w:color w:val="2A2422"/>
                <w:sz w:val="16"/>
              </w:rPr>
              <w:t>Grant/revocation logic and fail-closed local preview.</w:t>
            </w:r>
          </w:p>
        </w:tc>
      </w:tr>
      <w:tr>
        <w:tc>
          <w:tcPr>
            <w:tcW w:type="dxa" w:w="1250"/>
          </w:tcPr>
          <w:p>
            <w:pPr>
              <w:pStyle w:val="TableText"/>
              <w:spacing w:after="0"/>
              <w:jc w:val="left"/>
            </w:pPr>
            <w:r>
              <w:rPr>
                <w:rFonts w:ascii="Calibri" w:hAnsi="Calibri" w:eastAsia="Noto Sans SC"/>
                <w:b w:val="0"/>
                <w:color w:val="2A2422"/>
                <w:sz w:val="16"/>
              </w:rPr>
              <w:t>AMBER</w:t>
            </w:r>
          </w:p>
        </w:tc>
        <w:tc>
          <w:tcPr>
            <w:tcW w:type="dxa" w:w="4740"/>
          </w:tcPr>
          <w:p>
            <w:pPr>
              <w:pStyle w:val="TableText"/>
              <w:spacing w:after="0"/>
              <w:jc w:val="left"/>
            </w:pPr>
            <w:r>
              <w:rPr>
                <w:rFonts w:ascii="Calibri" w:hAnsi="Calibri" w:eastAsia="Noto Sans SC"/>
                <w:b w:val="0"/>
                <w:color w:val="2A2422"/>
                <w:sz w:val="16"/>
              </w:rPr>
              <w:t>‘The experience works reliably on representative people and the demo laptop.’</w:t>
            </w:r>
          </w:p>
        </w:tc>
        <w:tc>
          <w:tcPr>
            <w:tcW w:type="dxa" w:w="3370"/>
          </w:tcPr>
          <w:p>
            <w:pPr>
              <w:pStyle w:val="TableText"/>
              <w:spacing w:after="0"/>
              <w:jc w:val="left"/>
            </w:pPr>
            <w:r>
              <w:rPr>
                <w:rFonts w:ascii="Calibri" w:hAnsi="Calibri" w:eastAsia="Noto Sans SC"/>
                <w:b w:val="0"/>
                <w:color w:val="2A2422"/>
                <w:sz w:val="16"/>
              </w:rPr>
              <w:t>Requires dated real-camera, lighting, occlusion, multi-body, latency and audio evidence.</w:t>
            </w:r>
          </w:p>
        </w:tc>
      </w:tr>
      <w:tr>
        <w:tc>
          <w:tcPr>
            <w:tcW w:type="dxa" w:w="1250"/>
          </w:tcPr>
          <w:p>
            <w:pPr>
              <w:pStyle w:val="TableText"/>
              <w:spacing w:after="0"/>
              <w:jc w:val="left"/>
            </w:pPr>
            <w:r>
              <w:rPr>
                <w:rFonts w:ascii="Calibri" w:hAnsi="Calibri" w:eastAsia="Noto Sans SC"/>
                <w:b w:val="0"/>
                <w:color w:val="2A2422"/>
                <w:sz w:val="16"/>
              </w:rPr>
              <w:t>AMBER</w:t>
            </w:r>
          </w:p>
        </w:tc>
        <w:tc>
          <w:tcPr>
            <w:tcW w:type="dxa" w:w="4740"/>
          </w:tcPr>
          <w:p>
            <w:pPr>
              <w:pStyle w:val="TableText"/>
              <w:spacing w:after="0"/>
              <w:jc w:val="left"/>
            </w:pPr>
            <w:r>
              <w:rPr>
                <w:rFonts w:ascii="Calibri" w:hAnsi="Calibri" w:eastAsia="Noto Sans SC"/>
                <w:b w:val="0"/>
                <w:color w:val="2A2422"/>
                <w:sz w:val="16"/>
              </w:rPr>
              <w:t>‘Older adults find the setup understandable, safe and enjoyable.’</w:t>
            </w:r>
          </w:p>
        </w:tc>
        <w:tc>
          <w:tcPr>
            <w:tcW w:type="dxa" w:w="3370"/>
          </w:tcPr>
          <w:p>
            <w:pPr>
              <w:pStyle w:val="TableText"/>
              <w:spacing w:after="0"/>
              <w:jc w:val="left"/>
            </w:pPr>
            <w:r>
              <w:rPr>
                <w:rFonts w:ascii="Calibri" w:hAnsi="Calibri" w:eastAsia="Noto Sans SC"/>
                <w:b w:val="0"/>
                <w:color w:val="2A2422"/>
                <w:sz w:val="16"/>
              </w:rPr>
              <w:t>Requires consented formative sessions; none are recorded yet.</w:t>
            </w:r>
          </w:p>
        </w:tc>
      </w:tr>
      <w:tr>
        <w:tc>
          <w:tcPr>
            <w:tcW w:type="dxa" w:w="1250"/>
          </w:tcPr>
          <w:p>
            <w:pPr>
              <w:pStyle w:val="TableText"/>
              <w:spacing w:after="0"/>
              <w:jc w:val="left"/>
            </w:pPr>
            <w:r>
              <w:rPr>
                <w:rFonts w:ascii="Calibri" w:hAnsi="Calibri" w:eastAsia="Noto Sans SC"/>
                <w:b w:val="0"/>
                <w:color w:val="2A2422"/>
                <w:sz w:val="16"/>
              </w:rPr>
              <w:t>AMBER</w:t>
            </w:r>
          </w:p>
        </w:tc>
        <w:tc>
          <w:tcPr>
            <w:tcW w:type="dxa" w:w="4740"/>
          </w:tcPr>
          <w:p>
            <w:pPr>
              <w:pStyle w:val="TableText"/>
              <w:spacing w:after="0"/>
              <w:jc w:val="left"/>
            </w:pPr>
            <w:r>
              <w:rPr>
                <w:rFonts w:ascii="Calibri" w:hAnsi="Calibri" w:eastAsia="Noto Sans SC"/>
                <w:b w:val="0"/>
                <w:color w:val="2A2422"/>
                <w:sz w:val="16"/>
              </w:rPr>
              <w:t>‘Miora created the final visual assets; CodeBuddy materially accelerated the tested build.’</w:t>
            </w:r>
          </w:p>
        </w:tc>
        <w:tc>
          <w:tcPr>
            <w:tcW w:type="dxa" w:w="3370"/>
          </w:tcPr>
          <w:p>
            <w:pPr>
              <w:pStyle w:val="TableText"/>
              <w:spacing w:after="0"/>
              <w:jc w:val="left"/>
            </w:pPr>
            <w:r>
              <w:rPr>
                <w:rFonts w:ascii="Calibri" w:hAnsi="Calibri" w:eastAsia="Noto Sans SC"/>
                <w:b w:val="0"/>
                <w:color w:val="2A2422"/>
                <w:sz w:val="16"/>
              </w:rPr>
              <w:t>Requires owner-account prompt/session provenance and the final integrated artifact.</w:t>
            </w:r>
          </w:p>
        </w:tc>
      </w:tr>
      <w:tr>
        <w:tc>
          <w:tcPr>
            <w:tcW w:type="dxa" w:w="1250"/>
          </w:tcPr>
          <w:p>
            <w:pPr>
              <w:pStyle w:val="TableText"/>
              <w:spacing w:after="0"/>
              <w:jc w:val="left"/>
            </w:pPr>
            <w:r>
              <w:rPr>
                <w:rFonts w:ascii="Calibri" w:hAnsi="Calibri" w:eastAsia="Noto Sans SC"/>
                <w:b w:val="0"/>
                <w:color w:val="2A2422"/>
                <w:sz w:val="16"/>
              </w:rPr>
              <w:t>AMBER</w:t>
            </w:r>
          </w:p>
        </w:tc>
        <w:tc>
          <w:tcPr>
            <w:tcW w:type="dxa" w:w="4740"/>
          </w:tcPr>
          <w:p>
            <w:pPr>
              <w:pStyle w:val="TableText"/>
              <w:spacing w:after="0"/>
              <w:jc w:val="left"/>
            </w:pPr>
            <w:r>
              <w:rPr>
                <w:rFonts w:ascii="Calibri" w:hAnsi="Calibri" w:eastAsia="Noto Sans SC"/>
                <w:b w:val="0"/>
                <w:color w:val="2A2422"/>
                <w:sz w:val="16"/>
              </w:rPr>
              <w:t>‘The supporter receives a WeChat check-in.’</w:t>
            </w:r>
          </w:p>
        </w:tc>
        <w:tc>
          <w:tcPr>
            <w:tcW w:type="dxa" w:w="3370"/>
          </w:tcPr>
          <w:p>
            <w:pPr>
              <w:pStyle w:val="TableText"/>
              <w:spacing w:after="0"/>
              <w:jc w:val="left"/>
            </w:pPr>
            <w:r>
              <w:rPr>
                <w:rFonts w:ascii="Calibri" w:hAnsi="Calibri" w:eastAsia="Noto Sans SC"/>
                <w:b w:val="0"/>
                <w:color w:val="2A2422"/>
                <w:sz w:val="16"/>
              </w:rPr>
              <w:t>Current adapter is unavailable; either complete a sandbox owner test or say ‘preview only’.</w:t>
            </w:r>
          </w:p>
        </w:tc>
      </w:tr>
      <w:tr>
        <w:tc>
          <w:tcPr>
            <w:tcW w:type="dxa" w:w="1250"/>
          </w:tcPr>
          <w:p>
            <w:pPr>
              <w:pStyle w:val="TableText"/>
              <w:spacing w:after="0"/>
              <w:jc w:val="left"/>
            </w:pPr>
            <w:r>
              <w:rPr>
                <w:rFonts w:ascii="Calibri" w:hAnsi="Calibri" w:eastAsia="Noto Sans SC"/>
                <w:b w:val="0"/>
                <w:color w:val="2A2422"/>
                <w:sz w:val="16"/>
              </w:rPr>
              <w:t>RED</w:t>
            </w:r>
          </w:p>
        </w:tc>
        <w:tc>
          <w:tcPr>
            <w:tcW w:type="dxa" w:w="4740"/>
          </w:tcPr>
          <w:p>
            <w:pPr>
              <w:pStyle w:val="TableText"/>
              <w:spacing w:after="0"/>
              <w:jc w:val="left"/>
            </w:pPr>
            <w:r>
              <w:rPr>
                <w:rFonts w:ascii="Calibri" w:hAnsi="Calibri" w:eastAsia="Noto Sans SC"/>
                <w:b w:val="0"/>
                <w:color w:val="2A2422"/>
                <w:sz w:val="16"/>
              </w:rPr>
              <w:t>‘舞伴 detects cognitive decline, MCI, fall risk or early disease.’</w:t>
            </w:r>
          </w:p>
        </w:tc>
        <w:tc>
          <w:tcPr>
            <w:tcW w:type="dxa" w:w="3370"/>
          </w:tcPr>
          <w:p>
            <w:pPr>
              <w:pStyle w:val="TableText"/>
              <w:spacing w:after="0"/>
              <w:jc w:val="left"/>
            </w:pPr>
            <w:r>
              <w:rPr>
                <w:rFonts w:ascii="Calibri" w:hAnsi="Calibri" w:eastAsia="Noto Sans SC"/>
                <w:b w:val="0"/>
                <w:color w:val="2A2422"/>
                <w:sz w:val="16"/>
              </w:rPr>
              <w:t>Prohibited: no clinical validation or diagnostic threshold.</w:t>
            </w:r>
          </w:p>
        </w:tc>
      </w:tr>
      <w:tr>
        <w:tc>
          <w:tcPr>
            <w:tcW w:type="dxa" w:w="1250"/>
          </w:tcPr>
          <w:p>
            <w:pPr>
              <w:pStyle w:val="TableText"/>
              <w:spacing w:after="0"/>
              <w:jc w:val="left"/>
            </w:pPr>
            <w:r>
              <w:rPr>
                <w:rFonts w:ascii="Calibri" w:hAnsi="Calibri" w:eastAsia="Noto Sans SC"/>
                <w:b w:val="0"/>
                <w:color w:val="2A2422"/>
                <w:sz w:val="16"/>
              </w:rPr>
              <w:t>RED</w:t>
            </w:r>
          </w:p>
        </w:tc>
        <w:tc>
          <w:tcPr>
            <w:tcW w:type="dxa" w:w="4740"/>
          </w:tcPr>
          <w:p>
            <w:pPr>
              <w:pStyle w:val="TableText"/>
              <w:spacing w:after="0"/>
              <w:jc w:val="left"/>
            </w:pPr>
            <w:r>
              <w:rPr>
                <w:rFonts w:ascii="Calibri" w:hAnsi="Calibri" w:eastAsia="Noto Sans SC"/>
                <w:b w:val="0"/>
                <w:color w:val="2A2422"/>
                <w:sz w:val="16"/>
              </w:rPr>
              <w:t>‘All tests pass’ or ‘production is fully verified.’</w:t>
            </w:r>
          </w:p>
        </w:tc>
        <w:tc>
          <w:tcPr>
            <w:tcW w:type="dxa" w:w="3370"/>
          </w:tcPr>
          <w:p>
            <w:pPr>
              <w:pStyle w:val="TableText"/>
              <w:spacing w:after="0"/>
              <w:jc w:val="left"/>
            </w:pPr>
            <w:r>
              <w:rPr>
                <w:rFonts w:ascii="Calibri" w:hAnsi="Calibri" w:eastAsia="Noto Sans SC"/>
                <w:b w:val="0"/>
                <w:color w:val="2A2422"/>
                <w:sz w:val="16"/>
              </w:rPr>
              <w:t>Latest repository snapshot records exceptions and an authenticated production smoke gate.</w:t>
            </w:r>
          </w:p>
        </w:tc>
      </w:tr>
      <w:tr>
        <w:tc>
          <w:tcPr>
            <w:tcW w:type="dxa" w:w="1250"/>
          </w:tcPr>
          <w:p>
            <w:pPr>
              <w:pStyle w:val="TableText"/>
              <w:spacing w:after="0"/>
              <w:jc w:val="left"/>
            </w:pPr>
            <w:r>
              <w:rPr>
                <w:rFonts w:ascii="Calibri" w:hAnsi="Calibri" w:eastAsia="Noto Sans SC"/>
                <w:b w:val="0"/>
                <w:color w:val="2A2422"/>
                <w:sz w:val="16"/>
              </w:rPr>
              <w:t>RED</w:t>
            </w:r>
          </w:p>
        </w:tc>
        <w:tc>
          <w:tcPr>
            <w:tcW w:type="dxa" w:w="4740"/>
          </w:tcPr>
          <w:p>
            <w:pPr>
              <w:pStyle w:val="TableText"/>
              <w:spacing w:after="0"/>
              <w:jc w:val="left"/>
            </w:pPr>
            <w:r>
              <w:rPr>
                <w:rFonts w:ascii="Calibri" w:hAnsi="Calibri" w:eastAsia="Noto Sans SC"/>
                <w:b w:val="0"/>
                <w:color w:val="2A2422"/>
                <w:sz w:val="16"/>
              </w:rPr>
              <w:t>‘We have a government/AAC partnership’ or ‘we prevent falls.’</w:t>
            </w:r>
          </w:p>
        </w:tc>
        <w:tc>
          <w:tcPr>
            <w:tcW w:type="dxa" w:w="3370"/>
          </w:tcPr>
          <w:p>
            <w:pPr>
              <w:pStyle w:val="TableText"/>
              <w:spacing w:after="0"/>
              <w:jc w:val="left"/>
            </w:pPr>
            <w:r>
              <w:rPr>
                <w:rFonts w:ascii="Calibri" w:hAnsi="Calibri" w:eastAsia="Noto Sans SC"/>
                <w:b w:val="0"/>
                <w:color w:val="2A2422"/>
                <w:sz w:val="16"/>
              </w:rPr>
              <w:t>A proposed pilot is not a partnership; dance/falls evidence remains uncertain.</w:t>
            </w:r>
          </w:p>
        </w:tc>
      </w:tr>
    </w:tbl>
    <w:p>
      <w:pPr>
        <w:spacing w:after="20"/>
      </w:pPr>
    </w:p>
    <w:p>
      <w:r>
        <w:rPr>
          <w:rFonts w:ascii="Calibri" w:hAnsi="Calibri" w:eastAsia="Noto Sans SC"/>
          <w:color w:val="2A2422"/>
        </w:rPr>
        <w:t>Latest recorded engineering snapshot (9 Aug 2026): 118 of 119 unit/component tests, all 7 IndexedDB integration tests, and 23 of 25 Chrome journeys passed; the recorded failures were one stale audio-clock assertion and two stale accessibility selectors. A fresh verification was not completed while preparing this playbook because dependencies are not installed in this checkout. Re-run under the pinned Node/npm versions before quoting any count.[R2]</w:t>
      </w:r>
    </w:p>
    <w:p>
      <w:r>
        <w:br w:type="page"/>
      </w:r>
    </w:p>
    <w:p>
      <w:pPr>
        <w:pStyle w:val="Heading1"/>
      </w:pPr>
      <w:r>
        <w:t>8. Q&amp;A: 20–30 second answers</w:t>
      </w:r>
    </w:p>
    <w:p>
      <w:pPr>
        <w:pStyle w:val="Heading2"/>
      </w:pPr>
      <w:r>
        <w:t>Why does this need AI?</w:t>
      </w:r>
    </w:p>
    <w:p>
      <w:r>
        <w:rPr>
          <w:rFonts w:ascii="Calibri" w:hAnsi="Calibri" w:eastAsia="Noto Sans SC"/>
          <w:color w:val="2A2422"/>
        </w:rPr>
        <w:t>The essential AI is perception. A normal webcam image does not tell a game ‘gentle left step’ or ‘open right palm.’ The on-device landmark models make natural movement usable without a controller or human observer. We deliberately keep movement rules and the trend transparent so an uncertain model output cannot become an opaque health claim.</w:t>
      </w:r>
    </w:p>
    <w:p>
      <w:pPr>
        <w:pStyle w:val="Heading2"/>
      </w:pPr>
      <w:r>
        <w:t>Why can’t ChatGPT already do this?</w:t>
      </w:r>
    </w:p>
    <w:p>
      <w:r>
        <w:rPr>
          <w:rFonts w:ascii="Calibri" w:hAnsi="Calibri" w:eastAsia="Noto Sans SC"/>
          <w:color w:val="2A2422"/>
        </w:rPr>
        <w:t>ChatGPT is not a low-latency, local body-and-hand controller. 舞伴 combines on-device visual perception, calibrated movement modes, a rhythm clock, quality-aware scoring, local summaries and consented longitudinal logic. There is no runtime chat prompt and no LLM generating medical advice.</w:t>
      </w:r>
    </w:p>
    <w:p>
      <w:pPr>
        <w:pStyle w:val="Heading2"/>
      </w:pPr>
      <w:r>
        <w:t>What is technically hard here?</w:t>
      </w:r>
    </w:p>
    <w:p>
      <w:r>
        <w:rPr>
          <w:rFonts w:ascii="Calibri" w:hAnsi="Calibri" w:eastAsia="Noto Sans SC"/>
          <w:color w:val="2A2422"/>
        </w:rPr>
        <w:t>The hard part is the contract between noisy perception and a forgiving game: mirrored coordinates, per-player calibration, centre-return latching, low-confidence recovery, separate pose and hand routes, audio-clock timing, session validity, and ensuring simulated or invalid data never contaminates a personal trend.</w:t>
      </w:r>
    </w:p>
    <w:p>
      <w:pPr>
        <w:pStyle w:val="Heading2"/>
      </w:pPr>
      <w:r>
        <w:t>What happens when the AI is wrong?</w:t>
      </w:r>
    </w:p>
    <w:p>
      <w:r>
        <w:rPr>
          <w:rFonts w:ascii="Calibri" w:hAnsi="Calibri" w:eastAsia="Noto Sans SC"/>
          <w:color w:val="2A2422"/>
        </w:rPr>
        <w:t>Unclear frames are not scored. The UI asks the player to reposition, preserves the flow briefly and can invalidate the session for trend use. A single miss never produces a health conclusion, and the supporter path requires repeated change across clear sessions plus separate consent.</w:t>
      </w:r>
    </w:p>
    <w:p>
      <w:pPr>
        <w:pStyle w:val="Heading2"/>
      </w:pPr>
      <w:r>
        <w:t>Is this diagnosing cognitive decline?</w:t>
      </w:r>
    </w:p>
    <w:p>
      <w:r>
        <w:rPr>
          <w:rFonts w:ascii="Calibri" w:hAnsi="Calibri" w:eastAsia="Noto Sans SC"/>
          <w:color w:val="2A2422"/>
        </w:rPr>
        <w:t>No. Beat, movement and sequence outcomes are gameplay measures. The personal trend is a research prototype that compares clear sessions with the player’s own baseline. It can support an earlier conversation, but it does not produce MCI probability, diagnosis, risk score or clinical urgency.</w:t>
      </w:r>
    </w:p>
    <w:p>
      <w:pPr>
        <w:pStyle w:val="Heading2"/>
      </w:pPr>
      <w:r>
        <w:t>Why not Just Dance, Kinect or a wearable?</w:t>
      </w:r>
    </w:p>
    <w:p>
      <w:r>
        <w:rPr>
          <w:rFonts w:ascii="Calibri" w:hAnsi="Calibri" w:eastAsia="Noto Sans SC"/>
          <w:color w:val="2A2422"/>
        </w:rPr>
        <w:t>Those products validate the appeal of movement games, but our proposition is the combination: ordinary laptop camera, no controller, a real seated hand route, a privacy-first local architecture, transparent quality gating and a consented personal pattern. We are not claiming no competitors; we are claiming a different trust and accessibility contract.</w:t>
      </w:r>
    </w:p>
    <w:p>
      <w:pPr>
        <w:pStyle w:val="Heading2"/>
      </w:pPr>
      <w:r>
        <w:t>Would a 75-year-old actually use it?</w:t>
      </w:r>
    </w:p>
    <w:p>
      <w:r>
        <w:rPr>
          <w:rFonts w:ascii="Calibri" w:hAnsi="Calibri" w:eastAsia="Noto Sans SC"/>
          <w:color w:val="2A2422"/>
        </w:rPr>
        <w:t>The interface avoids typed prompts and technical language, uses large bilingual cues, forgiving movement, a visible camera guide and a returning-player shortcut. However, adoption is still an open human-evidence gate. Before claiming usability, we need observed older-adult sessions and must report what failed as well as what worked.</w:t>
      </w:r>
    </w:p>
    <w:p>
      <w:pPr>
        <w:pStyle w:val="Heading2"/>
      </w:pPr>
      <w:r>
        <w:t>Have you tested with older adults?</w:t>
      </w:r>
    </w:p>
    <w:p>
      <w:r>
        <w:rPr>
          <w:rFonts w:ascii="Calibri" w:hAnsi="Calibri" w:eastAsia="Noto Sans SC"/>
          <w:color w:val="2A2422"/>
        </w:rPr>
        <w:t>The honest current answer is not yet in the evidence record. We have automated accessibility and synthetic journey evidence, but that is not a substitute for people. Our next gate is a consented formative session with older adults and supporters focused on setup, safety, comprehension, enjoyment and willingness to return.</w:t>
      </w:r>
    </w:p>
    <w:p>
      <w:pPr>
        <w:pStyle w:val="Heading2"/>
      </w:pPr>
      <w:r>
        <w:t>What surprised you during testing?</w:t>
      </w:r>
    </w:p>
    <w:p>
      <w:r>
        <w:rPr>
          <w:rFonts w:ascii="Calibri" w:hAnsi="Calibri" w:eastAsia="Noto Sans SC"/>
          <w:color w:val="2A2422"/>
        </w:rPr>
        <w:t>Our engineering tests showed that ‘more sensitive’ was not always better. A movement must remain countable after the player returns to centre, while a held pose must not score twice. That led us to capture one short-lived movement event and require a neutral return before re-arming. Use a real senior-testing surprise instead if completed.</w:t>
      </w:r>
    </w:p>
    <w:p>
      <w:pPr>
        <w:pStyle w:val="Heading2"/>
      </w:pPr>
      <w:r>
        <w:t>How is privacy protected?</w:t>
      </w:r>
    </w:p>
    <w:p>
      <w:r>
        <w:rPr>
          <w:rFonts w:ascii="Calibri" w:hAnsi="Calibri" w:eastAsia="Noto Sans SC"/>
          <w:color w:val="2A2422"/>
        </w:rPr>
        <w:t>Frames are processed in memory on the device and discarded. Domain code receives landmarks or movement events, not media. IndexedDB stores approved derived summaries only. Sharing is separate, off by default and revocable; simulated history is kept separate from captured history.</w:t>
      </w:r>
    </w:p>
    <w:p>
      <w:pPr>
        <w:pStyle w:val="Heading2"/>
      </w:pPr>
      <w:r>
        <w:t>Why one player? Isn’t dancing social?</w:t>
      </w:r>
    </w:p>
    <w:p>
      <w:r>
        <w:rPr>
          <w:rFonts w:ascii="Calibri" w:hAnsi="Calibri" w:eastAsia="Noto Sans SC"/>
          <w:color w:val="2A2422"/>
        </w:rPr>
        <w:t>Companions can dance, but only one calibrated primary player contributes to a trend. If identity confidence is lost or another body overlaps the scoring boundary, that segment is unscoreable. Social participation remains; personal data integrity is protected.</w:t>
      </w:r>
    </w:p>
    <w:p>
      <w:pPr>
        <w:pStyle w:val="Heading2"/>
      </w:pPr>
      <w:r>
        <w:t>Why Tencent?</w:t>
      </w:r>
    </w:p>
    <w:p>
      <w:r>
        <w:rPr>
          <w:rFonts w:ascii="Calibri" w:hAnsi="Calibri" w:eastAsia="Noto Sans SC"/>
          <w:color w:val="2A2422"/>
        </w:rPr>
        <w:t>For this Game track, the clean fit is CodeBuddy for the reviewed build trail and Miora for the final creative trail—if we can show the real prompts, variants and integrated results. Runtime perception remains provider-neutral because the browser, privacy and seated-hand requirements were feasibility gates. We would not force WorkBuddy, which the event assigns to the Agent track.</w:t>
      </w:r>
    </w:p>
    <w:p>
      <w:pPr>
        <w:pStyle w:val="Heading2"/>
      </w:pPr>
      <w:r>
        <w:t>Who pays and who distributes it?</w:t>
      </w:r>
    </w:p>
    <w:p>
      <w:r>
        <w:rPr>
          <w:rFonts w:ascii="Calibri" w:hAnsi="Calibri" w:eastAsia="Noto Sans SC"/>
          <w:color w:val="2A2422"/>
        </w:rPr>
        <w:t>The first model is community deployment, not consumer subscription: an AAC, social-service provider or funded healthy-ageing programme runs facilitator-supported sessions. Singapore’s 223-AAC network gives a concrete route to test one centre, prove an operating model and only then expand. Pricing comes after device, staffing and retention evidence.</w:t>
      </w:r>
    </w:p>
    <w:p>
      <w:pPr>
        <w:pStyle w:val="Heading2"/>
      </w:pPr>
      <w:r>
        <w:t>How do you measure impact?</w:t>
      </w:r>
    </w:p>
    <w:p>
      <w:r>
        <w:rPr>
          <w:rFonts w:ascii="Calibri" w:hAnsi="Calibri" w:eastAsia="Noto Sans SC"/>
          <w:color w:val="2A2422"/>
        </w:rPr>
        <w:t>For the pilot: time to first success, session completion, valid-session rate, enjoyment, perceived safety, consent comprehension, weekly return and supporter alarm level. We would not use cognitive improvement, sensitivity or specificity as product KPIs until a properly designed validation study exists.</w:t>
      </w:r>
    </w:p>
    <w:p>
      <w:pPr>
        <w:pStyle w:val="Heading2"/>
      </w:pPr>
      <w:r>
        <w:t>How would you pilot this?</w:t>
      </w:r>
    </w:p>
    <w:p>
      <w:r>
        <w:rPr>
          <w:rFonts w:ascii="Calibri" w:hAnsi="Calibri" w:eastAsia="Noto Sans SC"/>
          <w:color w:val="2A2422"/>
        </w:rPr>
        <w:t>Co-design with 5–8 older adults and 3–5 supporters, obtain movement-safety review, then run an eight-week non-clinical pilot at one AAC in Toa Payoh or Bedok with facilitator support. Measure usability and repeat participation; keep data local unless separate research consent and governance are approved.</w:t>
      </w:r>
    </w:p>
    <w:p>
      <w:pPr>
        <w:pStyle w:val="Heading2"/>
      </w:pPr>
      <w:r>
        <w:t>What is your moat?</w:t>
      </w:r>
    </w:p>
    <w:p>
      <w:r>
        <w:rPr>
          <w:rFonts w:ascii="Calibri" w:hAnsi="Calibri" w:eastAsia="Noto Sans SC"/>
          <w:color w:val="2A2422"/>
        </w:rPr>
        <w:t>Not a proprietary pose model. The defensibility is the system around perception: calibrated standing and seated contracts, quality-aware scoring, privacy-first data boundaries, longitudinal separation, safety and culturally familiar content—plus the operating evidence to deploy responsibly with community partners.</w:t>
      </w:r>
    </w:p>
    <w:p>
      <w:pPr>
        <w:pStyle w:val="Heading2"/>
      </w:pPr>
      <w:r>
        <w:t>What breaks at 100,000 users?</w:t>
      </w:r>
    </w:p>
    <w:p>
      <w:r>
        <w:rPr>
          <w:rFonts w:ascii="Calibri" w:hAnsi="Calibri" w:eastAsia="Noto Sans SC"/>
          <w:color w:val="2A2422"/>
        </w:rPr>
        <w:t>The core inference is on-device, so cloud compute does not grow per session. The hard parts become model delivery, device diversity, support, consent identity and any external messaging service. We would version assets, certify a device matrix, add privacy-safe aggregate telemetry only with consent, and keep messaging outside the core game.</w:t>
      </w:r>
    </w:p>
    <w:p>
      <w:pPr>
        <w:pStyle w:val="Heading2"/>
      </w:pPr>
      <w:r>
        <w:t>What does it cost per user per month?</w:t>
      </w:r>
    </w:p>
    <w:p>
      <w:r>
        <w:rPr>
          <w:rFonts w:ascii="Calibri" w:hAnsi="Calibri" w:eastAsia="Noto Sans SC"/>
          <w:color w:val="2A2422"/>
        </w:rPr>
        <w:t>We do not yet have a defensible number. The static local-first core avoids recurring cloud inference, but a real deployment still has device, facilitator, support and optional messaging costs. Our first pilot is designed to measure those inputs before we present unit economics.</w:t>
      </w:r>
    </w:p>
    <w:p>
      <w:pPr>
        <w:pStyle w:val="Heading2"/>
      </w:pPr>
      <w:r>
        <w:t>Why should this team represent Singapore in Shenzhen?</w:t>
      </w:r>
    </w:p>
    <w:p>
      <w:r>
        <w:rPr>
          <w:rFonts w:ascii="Calibri" w:hAnsi="Calibri" w:eastAsia="Noto Sans SC"/>
          <w:color w:val="2A2422"/>
        </w:rPr>
        <w:t>Because the project connects Singapore’s community-ageing direction with a problem shared across Asia, and it does so with visible AI and unusually clear limits. We have a working game, a credible local pilot path and an architecture that protects dignity. Shenzhen would let us turn the prototype into cross-market evidence, not just more features.</w:t>
      </w:r>
    </w:p>
    <w:p>
      <w:pPr>
        <w:pStyle w:val="Heading1"/>
      </w:pPr>
      <w:r>
        <w:t>9. A credible Singapore pilot</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1450"/>
        <w:gridCol w:w="2450"/>
        <w:gridCol w:w="3150"/>
        <w:gridCol w:w="2310"/>
      </w:tblGrid>
      <w:tr>
        <w:trPr>
          <w:tblHeader w:val="true"/>
        </w:trPr>
        <w:tc>
          <w:tcPr>
            <w:tcW w:type="dxa" w:w="1450"/>
            <w:vAlign w:val="center"/>
            <w:tcMar>
              <w:top w:w="80" w:type="dxa"/>
              <w:start w:w="120" w:type="dxa"/>
              <w:bottom w:w="80" w:type="dxa"/>
              <w:end w:w="120" w:type="dxa"/>
            </w:tcMar>
            <w:shd w:fill="EDF4EE"/>
          </w:tcPr>
          <w:p>
            <w:pPr>
              <w:pStyle w:val="TableText"/>
              <w:spacing w:after="0"/>
              <w:jc w:val="center"/>
            </w:pPr>
            <w:r>
              <w:rPr>
                <w:rFonts w:ascii="Calibri" w:hAnsi="Calibri" w:eastAsia="Noto Sans SC"/>
                <w:b/>
                <w:color w:val="5F241C"/>
                <w:sz w:val="18"/>
              </w:rPr>
              <w:t>Phase</w:t>
            </w:r>
          </w:p>
        </w:tc>
        <w:tc>
          <w:tcPr>
            <w:tcW w:type="dxa" w:w="2450"/>
            <w:vAlign w:val="center"/>
            <w:tcMar>
              <w:top w:w="80" w:type="dxa"/>
              <w:start w:w="120" w:type="dxa"/>
              <w:bottom w:w="80" w:type="dxa"/>
              <w:end w:w="120" w:type="dxa"/>
            </w:tcMar>
            <w:shd w:fill="EDF4EE"/>
          </w:tcPr>
          <w:p>
            <w:pPr>
              <w:pStyle w:val="TableText"/>
              <w:spacing w:after="0"/>
              <w:jc w:val="center"/>
            </w:pPr>
            <w:r>
              <w:rPr>
                <w:rFonts w:ascii="Calibri" w:hAnsi="Calibri" w:eastAsia="Noto Sans SC"/>
                <w:b/>
                <w:color w:val="5F241C"/>
                <w:sz w:val="18"/>
              </w:rPr>
              <w:t>Participants / setting</w:t>
            </w:r>
          </w:p>
        </w:tc>
        <w:tc>
          <w:tcPr>
            <w:tcW w:type="dxa" w:w="3150"/>
            <w:vAlign w:val="center"/>
            <w:tcMar>
              <w:top w:w="80" w:type="dxa"/>
              <w:start w:w="120" w:type="dxa"/>
              <w:bottom w:w="80" w:type="dxa"/>
              <w:end w:w="120" w:type="dxa"/>
            </w:tcMar>
            <w:shd w:fill="EDF4EE"/>
          </w:tcPr>
          <w:p>
            <w:pPr>
              <w:pStyle w:val="TableText"/>
              <w:spacing w:after="0"/>
              <w:jc w:val="center"/>
            </w:pPr>
            <w:r>
              <w:rPr>
                <w:rFonts w:ascii="Calibri" w:hAnsi="Calibri" w:eastAsia="Noto Sans SC"/>
                <w:b/>
                <w:color w:val="5F241C"/>
                <w:sz w:val="18"/>
              </w:rPr>
              <w:t>What you learn</w:t>
            </w:r>
          </w:p>
        </w:tc>
        <w:tc>
          <w:tcPr>
            <w:tcW w:type="dxa" w:w="2310"/>
            <w:vAlign w:val="center"/>
            <w:tcMar>
              <w:top w:w="80" w:type="dxa"/>
              <w:start w:w="120" w:type="dxa"/>
              <w:bottom w:w="80" w:type="dxa"/>
              <w:end w:w="120" w:type="dxa"/>
            </w:tcMar>
            <w:shd w:fill="EDF4EE"/>
          </w:tcPr>
          <w:p>
            <w:pPr>
              <w:pStyle w:val="TableText"/>
              <w:spacing w:after="0"/>
              <w:jc w:val="center"/>
            </w:pPr>
            <w:r>
              <w:rPr>
                <w:rFonts w:ascii="Calibri" w:hAnsi="Calibri" w:eastAsia="Noto Sans SC"/>
                <w:b/>
                <w:color w:val="5F241C"/>
                <w:sz w:val="18"/>
              </w:rPr>
              <w:t>Go / no-go evidence</w:t>
            </w:r>
          </w:p>
        </w:tc>
      </w:tr>
      <w:tr>
        <w:tc>
          <w:tcPr>
            <w:tcW w:type="dxa" w:w="1450"/>
          </w:tcPr>
          <w:p>
            <w:pPr>
              <w:pStyle w:val="TableText"/>
              <w:spacing w:after="0"/>
              <w:jc w:val="left"/>
            </w:pPr>
            <w:r>
              <w:rPr>
                <w:rFonts w:ascii="Calibri" w:hAnsi="Calibri" w:eastAsia="Noto Sans SC"/>
                <w:b w:val="0"/>
                <w:color w:val="2A2422"/>
                <w:sz w:val="17"/>
              </w:rPr>
              <w:t>1. Co-design</w:t>
            </w:r>
          </w:p>
        </w:tc>
        <w:tc>
          <w:tcPr>
            <w:tcW w:type="dxa" w:w="2450"/>
          </w:tcPr>
          <w:p>
            <w:pPr>
              <w:pStyle w:val="TableText"/>
              <w:spacing w:after="0"/>
              <w:jc w:val="left"/>
            </w:pPr>
            <w:r>
              <w:rPr>
                <w:rFonts w:ascii="Calibri" w:hAnsi="Calibri" w:eastAsia="Noto Sans SC"/>
                <w:b w:val="0"/>
                <w:color w:val="2A2422"/>
                <w:sz w:val="17"/>
              </w:rPr>
              <w:t>5–8 adults aged 60–75; 3–5 supporters; AAC facilitator</w:t>
            </w:r>
          </w:p>
        </w:tc>
        <w:tc>
          <w:tcPr>
            <w:tcW w:type="dxa" w:w="3150"/>
          </w:tcPr>
          <w:p>
            <w:pPr>
              <w:pStyle w:val="TableText"/>
              <w:spacing w:after="0"/>
              <w:jc w:val="left"/>
            </w:pPr>
            <w:r>
              <w:rPr>
                <w:rFonts w:ascii="Calibri" w:hAnsi="Calibri" w:eastAsia="Noto Sans SC"/>
                <w:b w:val="0"/>
                <w:color w:val="2A2422"/>
                <w:sz w:val="17"/>
              </w:rPr>
              <w:t>Language, dignity, move comfort, consent and check-in comprehension</w:t>
            </w:r>
          </w:p>
        </w:tc>
        <w:tc>
          <w:tcPr>
            <w:tcW w:type="dxa" w:w="2310"/>
          </w:tcPr>
          <w:p>
            <w:pPr>
              <w:pStyle w:val="TableText"/>
              <w:spacing w:after="0"/>
              <w:jc w:val="left"/>
            </w:pPr>
            <w:r>
              <w:rPr>
                <w:rFonts w:ascii="Calibri" w:hAnsi="Calibri" w:eastAsia="Noto Sans SC"/>
                <w:b w:val="0"/>
                <w:color w:val="2A2422"/>
                <w:sz w:val="17"/>
              </w:rPr>
              <w:t>Core task understood; no unacceptable safety or trust issue</w:t>
            </w:r>
          </w:p>
        </w:tc>
      </w:tr>
      <w:tr>
        <w:tc>
          <w:tcPr>
            <w:tcW w:type="dxa" w:w="1450"/>
          </w:tcPr>
          <w:p>
            <w:pPr>
              <w:pStyle w:val="TableText"/>
              <w:spacing w:after="0"/>
              <w:jc w:val="left"/>
            </w:pPr>
            <w:r>
              <w:rPr>
                <w:rFonts w:ascii="Calibri" w:hAnsi="Calibri" w:eastAsia="Noto Sans SC"/>
                <w:b w:val="0"/>
                <w:color w:val="2A2422"/>
                <w:sz w:val="17"/>
              </w:rPr>
              <w:t>2. Feasibility</w:t>
            </w:r>
          </w:p>
        </w:tc>
        <w:tc>
          <w:tcPr>
            <w:tcW w:type="dxa" w:w="2450"/>
          </w:tcPr>
          <w:p>
            <w:pPr>
              <w:pStyle w:val="TableText"/>
              <w:spacing w:after="0"/>
              <w:jc w:val="left"/>
            </w:pPr>
            <w:r>
              <w:rPr>
                <w:rFonts w:ascii="Calibri" w:hAnsi="Calibri" w:eastAsia="Noto Sans SC"/>
                <w:b w:val="0"/>
                <w:color w:val="2A2422"/>
                <w:sz w:val="17"/>
              </w:rPr>
              <w:t>20–30 participants at one AAC; 8 weeks; 2–3 optional sessions/week</w:t>
            </w:r>
          </w:p>
        </w:tc>
        <w:tc>
          <w:tcPr>
            <w:tcW w:type="dxa" w:w="3150"/>
          </w:tcPr>
          <w:p>
            <w:pPr>
              <w:pStyle w:val="TableText"/>
              <w:spacing w:after="0"/>
              <w:jc w:val="left"/>
            </w:pPr>
            <w:r>
              <w:rPr>
                <w:rFonts w:ascii="Calibri" w:hAnsi="Calibri" w:eastAsia="Noto Sans SC"/>
                <w:b w:val="0"/>
                <w:color w:val="2A2422"/>
                <w:sz w:val="17"/>
              </w:rPr>
              <w:t>Setup burden, completion, valid-session rate, repeat use, facilitator workflow</w:t>
            </w:r>
          </w:p>
        </w:tc>
        <w:tc>
          <w:tcPr>
            <w:tcW w:type="dxa" w:w="2310"/>
          </w:tcPr>
          <w:p>
            <w:pPr>
              <w:pStyle w:val="TableText"/>
              <w:spacing w:after="0"/>
              <w:jc w:val="left"/>
            </w:pPr>
            <w:r>
              <w:rPr>
                <w:rFonts w:ascii="Calibri" w:hAnsi="Calibri" w:eastAsia="Noto Sans SC"/>
                <w:b w:val="0"/>
                <w:color w:val="2A2422"/>
                <w:sz w:val="17"/>
              </w:rPr>
              <w:t>Predefined usability and reliability thresholds; incident review</w:t>
            </w:r>
          </w:p>
        </w:tc>
      </w:tr>
      <w:tr>
        <w:tc>
          <w:tcPr>
            <w:tcW w:type="dxa" w:w="1450"/>
          </w:tcPr>
          <w:p>
            <w:pPr>
              <w:pStyle w:val="TableText"/>
              <w:spacing w:after="0"/>
              <w:jc w:val="left"/>
            </w:pPr>
            <w:r>
              <w:rPr>
                <w:rFonts w:ascii="Calibri" w:hAnsi="Calibri" w:eastAsia="Noto Sans SC"/>
                <w:b w:val="0"/>
                <w:color w:val="2A2422"/>
                <w:sz w:val="17"/>
              </w:rPr>
              <w:t>3. Technical hardening</w:t>
            </w:r>
          </w:p>
        </w:tc>
        <w:tc>
          <w:tcPr>
            <w:tcW w:type="dxa" w:w="2450"/>
          </w:tcPr>
          <w:p>
            <w:pPr>
              <w:pStyle w:val="TableText"/>
              <w:spacing w:after="0"/>
              <w:jc w:val="left"/>
            </w:pPr>
            <w:r>
              <w:rPr>
                <w:rFonts w:ascii="Calibri" w:hAnsi="Calibri" w:eastAsia="Noto Sans SC"/>
                <w:b w:val="0"/>
                <w:color w:val="2A2422"/>
                <w:sz w:val="17"/>
              </w:rPr>
              <w:t>Demo and lower-spec laptops; varied lighting/clothing; standing and seated</w:t>
            </w:r>
          </w:p>
        </w:tc>
        <w:tc>
          <w:tcPr>
            <w:tcW w:type="dxa" w:w="3150"/>
          </w:tcPr>
          <w:p>
            <w:pPr>
              <w:pStyle w:val="TableText"/>
              <w:spacing w:after="0"/>
              <w:jc w:val="left"/>
            </w:pPr>
            <w:r>
              <w:rPr>
                <w:rFonts w:ascii="Calibri" w:hAnsi="Calibri" w:eastAsia="Noto Sans SC"/>
                <w:b w:val="0"/>
                <w:color w:val="2A2422"/>
                <w:sz w:val="17"/>
              </w:rPr>
              <w:t>Accuracy, confusion, latency, audio drift, occlusion and companion entry</w:t>
            </w:r>
          </w:p>
        </w:tc>
        <w:tc>
          <w:tcPr>
            <w:tcW w:type="dxa" w:w="2310"/>
          </w:tcPr>
          <w:p>
            <w:pPr>
              <w:pStyle w:val="TableText"/>
              <w:spacing w:after="0"/>
              <w:jc w:val="left"/>
            </w:pPr>
            <w:r>
              <w:rPr>
                <w:rFonts w:ascii="Calibri" w:hAnsi="Calibri" w:eastAsia="Noto Sans SC"/>
                <w:b w:val="0"/>
                <w:color w:val="2A2422"/>
                <w:sz w:val="17"/>
              </w:rPr>
              <w:t>Representative device report and five consecutive demo runs</w:t>
            </w:r>
          </w:p>
        </w:tc>
      </w:tr>
      <w:tr>
        <w:tc>
          <w:tcPr>
            <w:tcW w:type="dxa" w:w="1450"/>
          </w:tcPr>
          <w:p>
            <w:pPr>
              <w:pStyle w:val="TableText"/>
              <w:spacing w:after="0"/>
              <w:jc w:val="left"/>
            </w:pPr>
            <w:r>
              <w:rPr>
                <w:rFonts w:ascii="Calibri" w:hAnsi="Calibri" w:eastAsia="Noto Sans SC"/>
                <w:b w:val="0"/>
                <w:color w:val="2A2422"/>
                <w:sz w:val="17"/>
              </w:rPr>
              <w:t>4. Research design</w:t>
            </w:r>
          </w:p>
        </w:tc>
        <w:tc>
          <w:tcPr>
            <w:tcW w:type="dxa" w:w="2450"/>
          </w:tcPr>
          <w:p>
            <w:pPr>
              <w:pStyle w:val="TableText"/>
              <w:spacing w:after="0"/>
              <w:jc w:val="left"/>
            </w:pPr>
            <w:r>
              <w:rPr>
                <w:rFonts w:ascii="Calibri" w:hAnsi="Calibri" w:eastAsia="Noto Sans SC"/>
                <w:b w:val="0"/>
                <w:color w:val="2A2422"/>
                <w:sz w:val="17"/>
              </w:rPr>
              <w:t>Clinical, physiotherapy, privacy and accessibility advisers</w:t>
            </w:r>
          </w:p>
        </w:tc>
        <w:tc>
          <w:tcPr>
            <w:tcW w:type="dxa" w:w="3150"/>
          </w:tcPr>
          <w:p>
            <w:pPr>
              <w:pStyle w:val="TableText"/>
              <w:spacing w:after="0"/>
              <w:jc w:val="left"/>
            </w:pPr>
            <w:r>
              <w:rPr>
                <w:rFonts w:ascii="Calibri" w:hAnsi="Calibri" w:eastAsia="Noto Sans SC"/>
                <w:b w:val="0"/>
                <w:color w:val="2A2422"/>
                <w:sz w:val="17"/>
              </w:rPr>
              <w:t>Which gameplay measures are reliable and which claims remain prohibited</w:t>
            </w:r>
          </w:p>
        </w:tc>
        <w:tc>
          <w:tcPr>
            <w:tcW w:type="dxa" w:w="2310"/>
          </w:tcPr>
          <w:p>
            <w:pPr>
              <w:pStyle w:val="TableText"/>
              <w:spacing w:after="0"/>
              <w:jc w:val="left"/>
            </w:pPr>
            <w:r>
              <w:rPr>
                <w:rFonts w:ascii="Calibri" w:hAnsi="Calibri" w:eastAsia="Noto Sans SC"/>
                <w:b w:val="0"/>
                <w:color w:val="2A2422"/>
                <w:sz w:val="17"/>
              </w:rPr>
              <w:t>Study protocol and governance; no public clinical claim before validation</w:t>
            </w:r>
          </w:p>
        </w:tc>
      </w:tr>
      <w:tr>
        <w:tc>
          <w:tcPr>
            <w:tcW w:type="dxa" w:w="1450"/>
          </w:tcPr>
          <w:p>
            <w:pPr>
              <w:pStyle w:val="TableText"/>
              <w:spacing w:after="0"/>
              <w:jc w:val="left"/>
            </w:pPr>
            <w:r>
              <w:rPr>
                <w:rFonts w:ascii="Calibri" w:hAnsi="Calibri" w:eastAsia="Noto Sans SC"/>
                <w:b w:val="0"/>
                <w:color w:val="2A2422"/>
                <w:sz w:val="17"/>
              </w:rPr>
              <w:t>5. Scale test</w:t>
            </w:r>
          </w:p>
        </w:tc>
        <w:tc>
          <w:tcPr>
            <w:tcW w:type="dxa" w:w="2450"/>
          </w:tcPr>
          <w:p>
            <w:pPr>
              <w:pStyle w:val="TableText"/>
              <w:spacing w:after="0"/>
              <w:jc w:val="left"/>
            </w:pPr>
            <w:r>
              <w:rPr>
                <w:rFonts w:ascii="Calibri" w:hAnsi="Calibri" w:eastAsia="Noto Sans SC"/>
                <w:b w:val="0"/>
                <w:color w:val="2A2422"/>
                <w:sz w:val="17"/>
              </w:rPr>
              <w:t>Second AAC in another neighbourhood</w:t>
            </w:r>
          </w:p>
        </w:tc>
        <w:tc>
          <w:tcPr>
            <w:tcW w:type="dxa" w:w="3150"/>
          </w:tcPr>
          <w:p>
            <w:pPr>
              <w:pStyle w:val="TableText"/>
              <w:spacing w:after="0"/>
              <w:jc w:val="left"/>
            </w:pPr>
            <w:r>
              <w:rPr>
                <w:rFonts w:ascii="Calibri" w:hAnsi="Calibri" w:eastAsia="Noto Sans SC"/>
                <w:b w:val="0"/>
                <w:color w:val="2A2422"/>
                <w:sz w:val="17"/>
              </w:rPr>
              <w:t>Transferability, training time, cultural/music fit and support cost</w:t>
            </w:r>
          </w:p>
        </w:tc>
        <w:tc>
          <w:tcPr>
            <w:tcW w:type="dxa" w:w="2310"/>
          </w:tcPr>
          <w:p>
            <w:pPr>
              <w:pStyle w:val="TableText"/>
              <w:spacing w:after="0"/>
              <w:jc w:val="left"/>
            </w:pPr>
            <w:r>
              <w:rPr>
                <w:rFonts w:ascii="Calibri" w:hAnsi="Calibri" w:eastAsia="Noto Sans SC"/>
                <w:b w:val="0"/>
                <w:color w:val="2A2422"/>
                <w:sz w:val="17"/>
              </w:rPr>
              <w:t>Replicable operating guide and measured unit cost</w:t>
            </w:r>
          </w:p>
        </w:tc>
      </w:tr>
    </w:tbl>
    <w:p>
      <w:pPr>
        <w:spacing w:after="20"/>
      </w:pPr>
    </w:p>
    <w:p>
      <w:pPr>
        <w:pStyle w:val="Heading2"/>
      </w:pPr>
      <w:r>
        <w:t>Why the AAC / Age Well Neighbourhood route is strong</w:t>
      </w:r>
    </w:p>
    <w:p>
      <w:pPr>
        <w:numPr>
          <w:ilvl w:val="0"/>
          <w:numId w:val="10"/>
        </w:numPr>
        <w:spacing w:after="80" w:line="300" w:lineRule="auto"/>
      </w:pPr>
      <w:r>
        <w:rPr>
          <w:rFonts w:ascii="Calibri" w:hAnsi="Calibri" w:eastAsia="Noto Sans SC"/>
          <w:color w:val="2A2422"/>
          <w:sz w:val="21"/>
        </w:rPr>
        <w:t>AACs are existing community nodes for social, physical and cognitive participation; MOH reported 223 centres by March 2025.[S4]</w:t>
      </w:r>
    </w:p>
    <w:p>
      <w:pPr>
        <w:numPr>
          <w:ilvl w:val="0"/>
          <w:numId w:val="10"/>
        </w:numPr>
        <w:spacing w:after="80" w:line="300" w:lineRule="auto"/>
      </w:pPr>
      <w:r>
        <w:rPr>
          <w:rFonts w:ascii="Calibri" w:hAnsi="Calibri" w:eastAsia="Noto Sans SC"/>
          <w:color w:val="2A2422"/>
          <w:sz w:val="21"/>
        </w:rPr>
        <w:t>Toa Payoh, Bedok, Bukit Panjang and Tiong Bahru–Redhill are the first four Age Well Neighbourhoods, with more than 110,000 seniors expected to benefit.[S5]</w:t>
      </w:r>
    </w:p>
    <w:p>
      <w:pPr>
        <w:numPr>
          <w:ilvl w:val="0"/>
          <w:numId w:val="10"/>
        </w:numPr>
        <w:spacing w:after="80" w:line="300" w:lineRule="auto"/>
      </w:pPr>
      <w:r>
        <w:rPr>
          <w:rFonts w:ascii="Calibri" w:hAnsi="Calibri" w:eastAsia="Noto Sans SC"/>
          <w:color w:val="2A2422"/>
          <w:sz w:val="21"/>
        </w:rPr>
        <w:t>A facilitator can help with camera placement and safety without turning the product into a clinical assessment.</w:t>
      </w:r>
    </w:p>
    <w:p>
      <w:pPr>
        <w:numPr>
          <w:ilvl w:val="0"/>
          <w:numId w:val="10"/>
        </w:numPr>
        <w:spacing w:after="80" w:line="300" w:lineRule="auto"/>
      </w:pPr>
      <w:r>
        <w:rPr>
          <w:rFonts w:ascii="Calibri" w:hAnsi="Calibri" w:eastAsia="Noto Sans SC"/>
          <w:color w:val="2A2422"/>
          <w:sz w:val="21"/>
        </w:rPr>
        <w:t>The pilot can test the standing experience while preserving a genuine seated hand/finger route, not a cosmetic variant.</w:t>
      </w:r>
    </w:p>
    <w:p>
      <w:pPr>
        <w:spacing w:before="80" w:after="180" w:line="283" w:lineRule="auto"/>
        <w:ind w:left="187" w:right="115"/>
        <w:shd w:fill="F7EDEA"/>
        <w:pBdr>
          <w:left w:val="single" w:sz="14" w:space="8" w:color="9B1C1C"/>
        </w:pBdr>
      </w:pPr>
      <w:r>
        <w:rPr>
          <w:rFonts w:ascii="Calibri" w:hAnsi="Calibri" w:eastAsia="Noto Sans SC"/>
          <w:b/>
          <w:color w:val="5F241C"/>
          <w:sz w:val="21"/>
        </w:rPr>
        <w:t xml:space="preserve">Pilot language: </w:t>
      </w:r>
      <w:r>
        <w:rPr>
          <w:rFonts w:ascii="Calibri" w:hAnsi="Calibri" w:eastAsia="Noto Sans SC"/>
          <w:color w:val="2A2422"/>
          <w:sz w:val="21"/>
        </w:rPr>
        <w:t>Say ‘a proposed AAC pilot’, never ‘our AAC partnership’, until a named organisation has agreed.</w:t>
      </w:r>
    </w:p>
    <w:p>
      <w:pPr>
        <w:pStyle w:val="Heading1"/>
      </w:pPr>
      <w:r>
        <w:t>10. Research that strengthens—but does not validate—the story</w:t>
      </w:r>
    </w:p>
    <w:p>
      <w:r>
        <w:rPr>
          <w:rFonts w:ascii="Calibri" w:hAnsi="Calibri" w:eastAsia="Noto Sans SC"/>
          <w:color w:val="2A2422"/>
        </w:rPr>
        <w:t>Use external research to justify the activity choice and the need for rigorous validation. Do not use it to claim 舞伴 itself improves cognition, prevents falls or detects decline.</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2800"/>
        <w:gridCol w:w="3260"/>
        <w:gridCol w:w="3300"/>
      </w:tblGrid>
      <w:tr>
        <w:trPr>
          <w:tblHeader w:val="true"/>
        </w:trPr>
        <w:tc>
          <w:tcPr>
            <w:tcW w:type="dxa" w:w="2800"/>
            <w:vAlign w:val="center"/>
            <w:tcMar>
              <w:top w:w="80" w:type="dxa"/>
              <w:start w:w="120" w:type="dxa"/>
              <w:bottom w:w="80" w:type="dxa"/>
              <w:end w:w="120" w:type="dxa"/>
            </w:tcMar>
            <w:shd w:fill="EDF2F5"/>
          </w:tcPr>
          <w:p>
            <w:pPr>
              <w:pStyle w:val="TableText"/>
              <w:spacing w:after="0"/>
              <w:jc w:val="center"/>
            </w:pPr>
            <w:r>
              <w:rPr>
                <w:rFonts w:ascii="Calibri" w:hAnsi="Calibri" w:eastAsia="Noto Sans SC"/>
                <w:b/>
                <w:color w:val="5F241C"/>
                <w:sz w:val="18"/>
              </w:rPr>
              <w:t>Evidence</w:t>
            </w:r>
          </w:p>
        </w:tc>
        <w:tc>
          <w:tcPr>
            <w:tcW w:type="dxa" w:w="3260"/>
            <w:vAlign w:val="center"/>
            <w:tcMar>
              <w:top w:w="80" w:type="dxa"/>
              <w:start w:w="120" w:type="dxa"/>
              <w:bottom w:w="80" w:type="dxa"/>
              <w:end w:w="120" w:type="dxa"/>
            </w:tcMar>
            <w:shd w:fill="EDF2F5"/>
          </w:tcPr>
          <w:p>
            <w:pPr>
              <w:pStyle w:val="TableText"/>
              <w:spacing w:after="0"/>
              <w:jc w:val="center"/>
            </w:pPr>
            <w:r>
              <w:rPr>
                <w:rFonts w:ascii="Calibri" w:hAnsi="Calibri" w:eastAsia="Noto Sans SC"/>
                <w:b/>
                <w:color w:val="5F241C"/>
                <w:sz w:val="18"/>
              </w:rPr>
              <w:t>What it supports</w:t>
            </w:r>
          </w:p>
        </w:tc>
        <w:tc>
          <w:tcPr>
            <w:tcW w:type="dxa" w:w="3300"/>
            <w:vAlign w:val="center"/>
            <w:tcMar>
              <w:top w:w="80" w:type="dxa"/>
              <w:start w:w="120" w:type="dxa"/>
              <w:bottom w:w="80" w:type="dxa"/>
              <w:end w:w="120" w:type="dxa"/>
            </w:tcMar>
            <w:shd w:fill="EDF2F5"/>
          </w:tcPr>
          <w:p>
            <w:pPr>
              <w:pStyle w:val="TableText"/>
              <w:spacing w:after="0"/>
              <w:jc w:val="center"/>
            </w:pPr>
            <w:r>
              <w:rPr>
                <w:rFonts w:ascii="Calibri" w:hAnsi="Calibri" w:eastAsia="Noto Sans SC"/>
                <w:b/>
                <w:color w:val="5F241C"/>
                <w:sz w:val="18"/>
              </w:rPr>
              <w:t>What it does not support</w:t>
            </w:r>
          </w:p>
        </w:tc>
      </w:tr>
      <w:tr>
        <w:tc>
          <w:tcPr>
            <w:tcW w:type="dxa" w:w="2800"/>
          </w:tcPr>
          <w:p>
            <w:pPr>
              <w:pStyle w:val="TableText"/>
              <w:spacing w:after="0"/>
              <w:jc w:val="left"/>
            </w:pPr>
            <w:r>
              <w:rPr>
                <w:rFonts w:ascii="Calibri" w:hAnsi="Calibri" w:eastAsia="Noto Sans SC"/>
                <w:b w:val="0"/>
                <w:color w:val="2A2422"/>
                <w:sz w:val="17"/>
              </w:rPr>
              <w:t>WHO’s 2026 dementia risk-reduction guideline</w:t>
            </w:r>
          </w:p>
        </w:tc>
        <w:tc>
          <w:tcPr>
            <w:tcW w:type="dxa" w:w="3260"/>
          </w:tcPr>
          <w:p>
            <w:pPr>
              <w:pStyle w:val="TableText"/>
              <w:spacing w:after="0"/>
              <w:jc w:val="left"/>
            </w:pPr>
            <w:r>
              <w:rPr>
                <w:rFonts w:ascii="Calibri" w:hAnsi="Calibri" w:eastAsia="Noto Sans SC"/>
                <w:b w:val="0"/>
                <w:color w:val="2A2422"/>
                <w:sz w:val="17"/>
              </w:rPr>
              <w:t>Healthy-behaviour and multidomain prevention context; acknowledges evidence gaps</w:t>
            </w:r>
          </w:p>
        </w:tc>
        <w:tc>
          <w:tcPr>
            <w:tcW w:type="dxa" w:w="3300"/>
          </w:tcPr>
          <w:p>
            <w:pPr>
              <w:pStyle w:val="TableText"/>
              <w:spacing w:after="0"/>
              <w:jc w:val="left"/>
            </w:pPr>
            <w:r>
              <w:rPr>
                <w:rFonts w:ascii="Calibri" w:hAnsi="Calibri" w:eastAsia="Noto Sans SC"/>
                <w:b w:val="0"/>
                <w:color w:val="2A2422"/>
                <w:sz w:val="17"/>
              </w:rPr>
              <w:t>A diagnostic or screening claim for this game</w:t>
            </w:r>
          </w:p>
        </w:tc>
      </w:tr>
      <w:tr>
        <w:tc>
          <w:tcPr>
            <w:tcW w:type="dxa" w:w="2800"/>
          </w:tcPr>
          <w:p>
            <w:pPr>
              <w:pStyle w:val="TableText"/>
              <w:spacing w:after="0"/>
              <w:jc w:val="left"/>
            </w:pPr>
            <w:r>
              <w:rPr>
                <w:rFonts w:ascii="Calibri" w:hAnsi="Calibri" w:eastAsia="Noto Sans SC"/>
                <w:b w:val="0"/>
                <w:color w:val="2A2422"/>
                <w:sz w:val="17"/>
              </w:rPr>
              <w:t>2024 dance-exergame review: 37 studies, 1,139 baseline participants</w:t>
            </w:r>
          </w:p>
        </w:tc>
        <w:tc>
          <w:tcPr>
            <w:tcW w:type="dxa" w:w="3260"/>
          </w:tcPr>
          <w:p>
            <w:pPr>
              <w:pStyle w:val="TableText"/>
              <w:spacing w:after="0"/>
              <w:jc w:val="left"/>
            </w:pPr>
            <w:r>
              <w:rPr>
                <w:rFonts w:ascii="Calibri" w:hAnsi="Calibri" w:eastAsia="Noto Sans SC"/>
                <w:b w:val="0"/>
                <w:color w:val="2A2422"/>
                <w:sz w:val="17"/>
              </w:rPr>
              <w:t>Feasibility, usability and generally minimal adverse effects; some physical-function improvements</w:t>
            </w:r>
          </w:p>
        </w:tc>
        <w:tc>
          <w:tcPr>
            <w:tcW w:type="dxa" w:w="3300"/>
          </w:tcPr>
          <w:p>
            <w:pPr>
              <w:pStyle w:val="TableText"/>
              <w:spacing w:after="0"/>
              <w:jc w:val="left"/>
            </w:pPr>
            <w:r>
              <w:rPr>
                <w:rFonts w:ascii="Calibri" w:hAnsi="Calibri" w:eastAsia="Noto Sans SC"/>
                <w:b w:val="0"/>
                <w:color w:val="2A2422"/>
                <w:sz w:val="17"/>
              </w:rPr>
              <w:t>Certainty for this product; large or universal effects</w:t>
            </w:r>
          </w:p>
        </w:tc>
      </w:tr>
      <w:tr>
        <w:tc>
          <w:tcPr>
            <w:tcW w:type="dxa" w:w="2800"/>
          </w:tcPr>
          <w:p>
            <w:pPr>
              <w:pStyle w:val="TableText"/>
              <w:spacing w:after="0"/>
              <w:jc w:val="left"/>
            </w:pPr>
            <w:r>
              <w:rPr>
                <w:rFonts w:ascii="Calibri" w:hAnsi="Calibri" w:eastAsia="Noto Sans SC"/>
                <w:b w:val="0"/>
                <w:color w:val="2A2422"/>
                <w:sz w:val="17"/>
              </w:rPr>
              <w:t>2025 dance network meta-analysis: 28 studies, 1,967 older adults</w:t>
            </w:r>
          </w:p>
        </w:tc>
        <w:tc>
          <w:tcPr>
            <w:tcW w:type="dxa" w:w="3260"/>
          </w:tcPr>
          <w:p>
            <w:pPr>
              <w:pStyle w:val="TableText"/>
              <w:spacing w:after="0"/>
              <w:jc w:val="left"/>
            </w:pPr>
            <w:r>
              <w:rPr>
                <w:rFonts w:ascii="Calibri" w:hAnsi="Calibri" w:eastAsia="Noto Sans SC"/>
                <w:b w:val="0"/>
                <w:color w:val="2A2422"/>
                <w:sz w:val="17"/>
              </w:rPr>
              <w:t>Dance is plausibly multimodal and worth studying</w:t>
            </w:r>
          </w:p>
        </w:tc>
        <w:tc>
          <w:tcPr>
            <w:tcW w:type="dxa" w:w="3300"/>
          </w:tcPr>
          <w:p>
            <w:pPr>
              <w:pStyle w:val="TableText"/>
              <w:spacing w:after="0"/>
              <w:jc w:val="left"/>
            </w:pPr>
            <w:r>
              <w:rPr>
                <w:rFonts w:ascii="Calibri" w:hAnsi="Calibri" w:eastAsia="Noto Sans SC"/>
                <w:b w:val="0"/>
                <w:color w:val="2A2422"/>
                <w:sz w:val="17"/>
              </w:rPr>
              <w:t>Direct transfer from specific dance types to a four-minute browser game</w:t>
            </w:r>
          </w:p>
        </w:tc>
      </w:tr>
      <w:tr>
        <w:tc>
          <w:tcPr>
            <w:tcW w:type="dxa" w:w="2800"/>
          </w:tcPr>
          <w:p>
            <w:pPr>
              <w:pStyle w:val="TableText"/>
              <w:spacing w:after="0"/>
              <w:jc w:val="left"/>
            </w:pPr>
            <w:r>
              <w:rPr>
                <w:rFonts w:ascii="Calibri" w:hAnsi="Calibri" w:eastAsia="Noto Sans SC"/>
                <w:b w:val="0"/>
                <w:color w:val="2A2422"/>
                <w:sz w:val="17"/>
              </w:rPr>
              <w:t>2024 falls-prevention review</w:t>
            </w:r>
          </w:p>
        </w:tc>
        <w:tc>
          <w:tcPr>
            <w:tcW w:type="dxa" w:w="3260"/>
          </w:tcPr>
          <w:p>
            <w:pPr>
              <w:pStyle w:val="TableText"/>
              <w:spacing w:after="0"/>
              <w:jc w:val="left"/>
            </w:pPr>
            <w:r>
              <w:rPr>
                <w:rFonts w:ascii="Calibri" w:hAnsi="Calibri" w:eastAsia="Noto Sans SC"/>
                <w:b w:val="0"/>
                <w:color w:val="2A2422"/>
                <w:sz w:val="17"/>
              </w:rPr>
              <w:t>The need for bounded movement and caution</w:t>
            </w:r>
          </w:p>
        </w:tc>
        <w:tc>
          <w:tcPr>
            <w:tcW w:type="dxa" w:w="3300"/>
          </w:tcPr>
          <w:p>
            <w:pPr>
              <w:pStyle w:val="TableText"/>
              <w:spacing w:after="0"/>
              <w:jc w:val="left"/>
            </w:pPr>
            <w:r>
              <w:rPr>
                <w:rFonts w:ascii="Calibri" w:hAnsi="Calibri" w:eastAsia="Noto Sans SC"/>
                <w:b w:val="0"/>
                <w:color w:val="2A2422"/>
                <w:sz w:val="17"/>
              </w:rPr>
              <w:t>A falls-prevention claim; certainty was very low</w:t>
            </w:r>
          </w:p>
        </w:tc>
      </w:tr>
      <w:tr>
        <w:tc>
          <w:tcPr>
            <w:tcW w:type="dxa" w:w="2800"/>
          </w:tcPr>
          <w:p>
            <w:pPr>
              <w:pStyle w:val="TableText"/>
              <w:spacing w:after="0"/>
              <w:jc w:val="left"/>
            </w:pPr>
            <w:r>
              <w:rPr>
                <w:rFonts w:ascii="Calibri" w:hAnsi="Calibri" w:eastAsia="Noto Sans SC"/>
                <w:b w:val="0"/>
                <w:color w:val="2A2422"/>
                <w:sz w:val="17"/>
              </w:rPr>
              <w:t>WHO Western Pacific ageing context</w:t>
            </w:r>
          </w:p>
        </w:tc>
        <w:tc>
          <w:tcPr>
            <w:tcW w:type="dxa" w:w="3260"/>
          </w:tcPr>
          <w:p>
            <w:pPr>
              <w:pStyle w:val="TableText"/>
              <w:spacing w:after="0"/>
              <w:jc w:val="left"/>
            </w:pPr>
            <w:r>
              <w:rPr>
                <w:rFonts w:ascii="Calibri" w:hAnsi="Calibri" w:eastAsia="Noto Sans SC"/>
                <w:b w:val="0"/>
                <w:color w:val="2A2422"/>
                <w:sz w:val="17"/>
              </w:rPr>
              <w:t>Regional relevance beyond Singapore</w:t>
            </w:r>
          </w:p>
        </w:tc>
        <w:tc>
          <w:tcPr>
            <w:tcW w:type="dxa" w:w="3300"/>
          </w:tcPr>
          <w:p>
            <w:pPr>
              <w:pStyle w:val="TableText"/>
              <w:spacing w:after="0"/>
              <w:jc w:val="left"/>
            </w:pPr>
            <w:r>
              <w:rPr>
                <w:rFonts w:ascii="Calibri" w:hAnsi="Calibri" w:eastAsia="Noto Sans SC"/>
                <w:b w:val="0"/>
                <w:color w:val="2A2422"/>
                <w:sz w:val="17"/>
              </w:rPr>
              <w:t>A market-size or revenue claim</w:t>
            </w:r>
          </w:p>
        </w:tc>
      </w:tr>
    </w:tbl>
    <w:p>
      <w:pPr>
        <w:spacing w:after="20"/>
      </w:pPr>
    </w:p>
    <w:p>
      <w:r>
        <w:br w:type="page"/>
      </w:r>
    </w:p>
    <w:p>
      <w:pPr>
        <w:pStyle w:val="Heading1"/>
      </w:pPr>
      <w:r>
        <w:t>11. Finalist sprint: highest-value actions before the stage</w:t>
      </w:r>
    </w:p>
    <w:p>
      <w:pPr>
        <w:spacing w:before="80" w:after="180" w:line="283" w:lineRule="auto"/>
        <w:ind w:left="187" w:right="115"/>
        <w:shd w:fill="EDF4EE"/>
        <w:pBdr>
          <w:left w:val="single" w:sz="14" w:space="8" w:color="5A805E"/>
        </w:pBdr>
      </w:pPr>
      <w:r>
        <w:rPr>
          <w:rFonts w:ascii="Calibri" w:hAnsi="Calibri" w:eastAsia="Noto Sans SC"/>
          <w:b/>
          <w:color w:val="5F241C"/>
          <w:sz w:val="21"/>
        </w:rPr>
        <w:t xml:space="preserve">Order matters: </w:t>
      </w:r>
      <w:r>
        <w:rPr>
          <w:rFonts w:ascii="Calibri" w:hAnsi="Calibri" w:eastAsia="Noto Sans SC"/>
          <w:color w:val="2A2422"/>
          <w:sz w:val="21"/>
        </w:rPr>
        <w:t>These actions buy judging credibility. New features do not.</w:t>
      </w:r>
    </w:p>
    <w:p>
      <w:pPr>
        <w:numPr>
          <w:ilvl w:val="0"/>
          <w:numId w:val="11"/>
        </w:numPr>
        <w:spacing w:after="80" w:line="300" w:lineRule="auto"/>
      </w:pPr>
      <w:r>
        <w:rPr>
          <w:rFonts w:ascii="Calibri" w:hAnsi="Calibri" w:eastAsia="Noto Sans SC"/>
          <w:color w:val="2A2422"/>
          <w:sz w:val="21"/>
        </w:rPr>
        <w:t>Capture Tencent-tool provenance. Save the real CodeBuddy task → review → test trail and the Miora prompt → variant → export → in-game asset trail. If a final asset cannot be integrated truthfully, remove the claim from the spoken pitch.</w:t>
      </w:r>
    </w:p>
    <w:p>
      <w:pPr>
        <w:numPr>
          <w:ilvl w:val="0"/>
          <w:numId w:val="11"/>
        </w:numPr>
        <w:spacing w:after="80" w:line="300" w:lineRule="auto"/>
      </w:pPr>
      <w:r>
        <w:rPr>
          <w:rFonts w:ascii="Calibri" w:hAnsi="Calibri" w:eastAsia="Noto Sans SC"/>
          <w:color w:val="2A2422"/>
          <w:sz w:val="21"/>
        </w:rPr>
        <w:t>Run representative real-camera evidence on the exact demo laptop. Record standing and seated cues, front/back confusion, lighting, occlusion, companion entry, tracking recovery, inference/render rate, motion-to-feedback and audio drift.</w:t>
      </w:r>
    </w:p>
    <w:p>
      <w:pPr>
        <w:numPr>
          <w:ilvl w:val="0"/>
          <w:numId w:val="11"/>
        </w:numPr>
        <w:spacing w:after="80" w:line="300" w:lineRule="auto"/>
      </w:pPr>
      <w:r>
        <w:rPr>
          <w:rFonts w:ascii="Calibri" w:hAnsi="Calibri" w:eastAsia="Noto Sans SC"/>
          <w:color w:val="2A2422"/>
          <w:sz w:val="21"/>
        </w:rPr>
        <w:t>Complete a safe formative usability pass if recruitment and consent are ready. Even 3–5 older adults are useful if you report observed task completion, assistance, concerns and the concrete design change—never present it as clinical validation.</w:t>
      </w:r>
    </w:p>
    <w:p>
      <w:pPr>
        <w:numPr>
          <w:ilvl w:val="0"/>
          <w:numId w:val="11"/>
        </w:numPr>
        <w:spacing w:after="80" w:line="300" w:lineRule="auto"/>
      </w:pPr>
      <w:r>
        <w:rPr>
          <w:rFonts w:ascii="Calibri" w:hAnsi="Calibri" w:eastAsia="Noto Sans SC"/>
          <w:color w:val="2A2422"/>
          <w:sz w:val="21"/>
        </w:rPr>
        <w:t>Run the pinned full verification suite after installing the locked dependencies on the demo environment. Fix or explicitly carry every failure. Do not quote the 9 Aug counts as current.</w:t>
      </w:r>
    </w:p>
    <w:p>
      <w:pPr>
        <w:numPr>
          <w:ilvl w:val="0"/>
          <w:numId w:val="11"/>
        </w:numPr>
        <w:spacing w:after="80" w:line="300" w:lineRule="auto"/>
      </w:pPr>
      <w:r>
        <w:rPr>
          <w:rFonts w:ascii="Calibri" w:hAnsi="Calibri" w:eastAsia="Noto Sans SC"/>
          <w:color w:val="2A2422"/>
          <w:sz w:val="21"/>
        </w:rPr>
        <w:t>Approve music and assets. Complete owner listening/comfort review, four-minute real-output test and the rights/provenance pack.</w:t>
      </w:r>
    </w:p>
    <w:p>
      <w:pPr>
        <w:numPr>
          <w:ilvl w:val="0"/>
          <w:numId w:val="11"/>
        </w:numPr>
        <w:spacing w:after="80" w:line="300" w:lineRule="auto"/>
      </w:pPr>
      <w:r>
        <w:rPr>
          <w:rFonts w:ascii="Calibri" w:hAnsi="Calibri" w:eastAsia="Noto Sans SC"/>
          <w:color w:val="2A2422"/>
          <w:sz w:val="21"/>
        </w:rPr>
        <w:t>Rehearse five consecutive live demos under the venue layout. Time every transition, one planned error, the simulated-data disclosure and the final 35-second close.</w:t>
      </w:r>
    </w:p>
    <w:p>
      <w:pPr>
        <w:numPr>
          <w:ilvl w:val="0"/>
          <w:numId w:val="11"/>
        </w:numPr>
        <w:spacing w:after="80" w:line="300" w:lineRule="auto"/>
      </w:pPr>
      <w:r>
        <w:rPr>
          <w:rFonts w:ascii="Calibri" w:hAnsi="Calibri" w:eastAsia="Noto Sans SC"/>
          <w:color w:val="2A2422"/>
          <w:sz w:val="21"/>
        </w:rPr>
        <w:t>Record and package the fallback. One full video, one short demo clip, static screenshots and a local production build; test with Wi-Fi disabled.</w:t>
      </w:r>
    </w:p>
    <w:p>
      <w:pPr>
        <w:numPr>
          <w:ilvl w:val="0"/>
          <w:numId w:val="11"/>
        </w:numPr>
        <w:spacing w:after="80" w:line="300" w:lineRule="auto"/>
      </w:pPr>
      <w:r>
        <w:rPr>
          <w:rFonts w:ascii="Calibri" w:hAnsi="Calibri" w:eastAsia="Noto Sans SC"/>
          <w:color w:val="2A2422"/>
          <w:sz w:val="21"/>
        </w:rPr>
        <w:t>Decide the supporter claim. Either complete the owner-controlled sandbox channel with consented receipt evidence, or say ‘preview only’ everywhere. The latter is fully defensible.</w:t>
      </w:r>
    </w:p>
    <w:p>
      <w:pPr>
        <w:numPr>
          <w:ilvl w:val="0"/>
          <w:numId w:val="11"/>
        </w:numPr>
        <w:spacing w:after="80" w:line="300" w:lineRule="auto"/>
      </w:pPr>
      <w:r>
        <w:rPr>
          <w:rFonts w:ascii="Calibri" w:hAnsi="Calibri" w:eastAsia="Noto Sans SC"/>
          <w:color w:val="2A2422"/>
          <w:sz w:val="21"/>
        </w:rPr>
        <w:t>Confirm organiser facts. Exact 10-minute split, whether Q&amp;A is included, stage resolution/audio/camera rules, judging rubric, venue, arrival time and the named submission version.</w:t>
      </w:r>
    </w:p>
    <w:p>
      <w:pPr>
        <w:pStyle w:val="Heading2"/>
      </w:pPr>
      <w:r>
        <w:t>Final evidence capture card</w:t>
      </w:r>
    </w:p>
    <w:tbl>
      <w:tblPr>
        <w:tblW w:type="dxa" w:w="9360"/>
        <w:jc w:val="left"/>
        <w:tblLayout w:type="fixed"/>
        <w:tblLook w:firstColumn="1" w:firstRow="1" w:lastColumn="0" w:lastRow="0" w:noHBand="0" w:noVBand="1" w:val="04A0"/>
        <w:tblInd w:w="120" w:type="dxa"/>
        <w:tblBorders>
          <w:top w:val="single" w:sz="6" w:space="0" w:color="D7D3D0"/>
          <w:left w:val="single" w:sz="6" w:space="0" w:color="D7D3D0"/>
          <w:bottom w:val="single" w:sz="6" w:space="0" w:color="D7D3D0"/>
          <w:right w:val="single" w:sz="6" w:space="0" w:color="D7D3D0"/>
          <w:insideH w:val="single" w:sz="6" w:space="0" w:color="D7D3D0"/>
          <w:insideV w:val="single" w:sz="6" w:space="0" w:color="D7D3D0"/>
        </w:tblBorders>
      </w:tblPr>
      <w:tblGrid>
        <w:gridCol w:w="5900"/>
        <w:gridCol w:w="3460"/>
      </w:tblGrid>
      <w:tr>
        <w:trPr>
          <w:tblHeader w:val="true"/>
        </w:trPr>
        <w:tc>
          <w:tcPr>
            <w:tcW w:type="dxa" w:w="590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Evidence to fill before speaking</w:t>
            </w:r>
          </w:p>
        </w:tc>
        <w:tc>
          <w:tcPr>
            <w:tcW w:type="dxa" w:w="3460"/>
            <w:vAlign w:val="center"/>
            <w:tcMar>
              <w:top w:w="80" w:type="dxa"/>
              <w:start w:w="120" w:type="dxa"/>
              <w:bottom w:w="80" w:type="dxa"/>
              <w:end w:w="120" w:type="dxa"/>
            </w:tcMar>
            <w:shd w:fill="FAF3E6"/>
          </w:tcPr>
          <w:p>
            <w:pPr>
              <w:pStyle w:val="TableText"/>
              <w:spacing w:after="0"/>
              <w:jc w:val="center"/>
            </w:pPr>
            <w:r>
              <w:rPr>
                <w:rFonts w:ascii="Calibri" w:hAnsi="Calibri" w:eastAsia="Noto Sans SC"/>
                <w:b/>
                <w:color w:val="5F241C"/>
                <w:sz w:val="18"/>
              </w:rPr>
              <w:t>Actual result</w:t>
            </w:r>
          </w:p>
        </w:tc>
      </w:tr>
      <w:tr>
        <w:tc>
          <w:tcPr>
            <w:tcW w:type="dxa" w:w="5900"/>
          </w:tcPr>
          <w:p>
            <w:pPr>
              <w:pStyle w:val="TableText"/>
              <w:spacing w:after="0"/>
              <w:jc w:val="left"/>
            </w:pPr>
            <w:r>
              <w:rPr>
                <w:rFonts w:ascii="Calibri" w:hAnsi="Calibri" w:eastAsia="Noto Sans SC"/>
                <w:b/>
                <w:color w:val="2A2422"/>
                <w:sz w:val="17"/>
              </w:rPr>
              <w:t>Older-adult sessions: sample, age range, core-task completion, assistance, biggest concern, change made</w:t>
            </w:r>
          </w:p>
        </w:tc>
        <w:tc>
          <w:tcPr>
            <w:tcW w:type="dxa" w:w="3460"/>
          </w:tcPr>
          <w:p>
            <w:pPr>
              <w:pStyle w:val="TableText"/>
              <w:spacing w:after="0"/>
              <w:jc w:val="left"/>
            </w:pPr>
            <w:r>
              <w:rPr>
                <w:rFonts w:ascii="Calibri" w:hAnsi="Calibri" w:eastAsia="Noto Sans SC"/>
                <w:b w:val="0"/>
                <w:color w:val="2A2422"/>
                <w:sz w:val="17"/>
              </w:rPr>
              <w:t>Record only observed, consented facts</w:t>
            </w:r>
          </w:p>
        </w:tc>
      </w:tr>
      <w:tr>
        <w:tc>
          <w:tcPr>
            <w:tcW w:type="dxa" w:w="5900"/>
          </w:tcPr>
          <w:p>
            <w:pPr>
              <w:pStyle w:val="TableText"/>
              <w:spacing w:after="0"/>
              <w:jc w:val="left"/>
            </w:pPr>
            <w:r>
              <w:rPr>
                <w:rFonts w:ascii="Calibri" w:hAnsi="Calibri" w:eastAsia="Noto Sans SC"/>
                <w:b/>
                <w:color w:val="2A2422"/>
                <w:sz w:val="17"/>
              </w:rPr>
              <w:t>Five-demo rehearsal: pass count, camera, viewport, date</w:t>
            </w:r>
          </w:p>
        </w:tc>
        <w:tc>
          <w:tcPr>
            <w:tcW w:type="dxa" w:w="3460"/>
          </w:tcPr>
          <w:p>
            <w:pPr>
              <w:pStyle w:val="TableText"/>
              <w:spacing w:after="0"/>
              <w:jc w:val="left"/>
            </w:pPr>
            <w:r>
              <w:rPr>
                <w:rFonts w:ascii="Calibri" w:hAnsi="Calibri" w:eastAsia="Noto Sans SC"/>
                <w:b w:val="0"/>
                <w:color w:val="2A2422"/>
                <w:sz w:val="17"/>
              </w:rPr>
              <w:t>Must be dated on the final laptop</w:t>
            </w:r>
          </w:p>
        </w:tc>
      </w:tr>
      <w:tr>
        <w:tc>
          <w:tcPr>
            <w:tcW w:type="dxa" w:w="5900"/>
          </w:tcPr>
          <w:p>
            <w:pPr>
              <w:pStyle w:val="TableText"/>
              <w:spacing w:after="0"/>
              <w:jc w:val="left"/>
            </w:pPr>
            <w:r>
              <w:rPr>
                <w:rFonts w:ascii="Calibri" w:hAnsi="Calibri" w:eastAsia="Noto Sans SC"/>
                <w:b/>
                <w:color w:val="2A2422"/>
                <w:sz w:val="17"/>
              </w:rPr>
              <w:t>Real-camera report: scoreable/match rates, confusion, latency, recovery</w:t>
            </w:r>
          </w:p>
        </w:tc>
        <w:tc>
          <w:tcPr>
            <w:tcW w:type="dxa" w:w="3460"/>
          </w:tcPr>
          <w:p>
            <w:pPr>
              <w:pStyle w:val="TableText"/>
              <w:spacing w:after="0"/>
              <w:jc w:val="left"/>
            </w:pPr>
            <w:r>
              <w:rPr>
                <w:rFonts w:ascii="Calibri" w:hAnsi="Calibri" w:eastAsia="Noto Sans SC"/>
                <w:b w:val="0"/>
                <w:color w:val="2A2422"/>
                <w:sz w:val="17"/>
              </w:rPr>
              <w:t>Separate standing and seated</w:t>
            </w:r>
          </w:p>
        </w:tc>
      </w:tr>
      <w:tr>
        <w:tc>
          <w:tcPr>
            <w:tcW w:type="dxa" w:w="5900"/>
          </w:tcPr>
          <w:p>
            <w:pPr>
              <w:pStyle w:val="TableText"/>
              <w:spacing w:after="0"/>
              <w:jc w:val="left"/>
            </w:pPr>
            <w:r>
              <w:rPr>
                <w:rFonts w:ascii="Calibri" w:hAnsi="Calibri" w:eastAsia="Noto Sans SC"/>
                <w:b/>
                <w:color w:val="2A2422"/>
                <w:sz w:val="17"/>
              </w:rPr>
              <w:t>Full verification: unit, integration, browser, build/budget</w:t>
            </w:r>
          </w:p>
        </w:tc>
        <w:tc>
          <w:tcPr>
            <w:tcW w:type="dxa" w:w="3460"/>
          </w:tcPr>
          <w:p>
            <w:pPr>
              <w:pStyle w:val="TableText"/>
              <w:spacing w:after="0"/>
              <w:jc w:val="left"/>
            </w:pPr>
            <w:r>
              <w:rPr>
                <w:rFonts w:ascii="Calibri" w:hAnsi="Calibri" w:eastAsia="Noto Sans SC"/>
                <w:b w:val="0"/>
                <w:color w:val="2A2422"/>
                <w:sz w:val="17"/>
              </w:rPr>
              <w:t>Quote only the latest clean run</w:t>
            </w:r>
          </w:p>
        </w:tc>
      </w:tr>
      <w:tr>
        <w:tc>
          <w:tcPr>
            <w:tcW w:type="dxa" w:w="5900"/>
          </w:tcPr>
          <w:p>
            <w:pPr>
              <w:pStyle w:val="TableText"/>
              <w:spacing w:after="0"/>
              <w:jc w:val="left"/>
            </w:pPr>
            <w:r>
              <w:rPr>
                <w:rFonts w:ascii="Calibri" w:hAnsi="Calibri" w:eastAsia="Noto Sans SC"/>
                <w:b/>
                <w:color w:val="2A2422"/>
                <w:sz w:val="17"/>
              </w:rPr>
              <w:t>CodeBuddy proof: task, reviewed change, test evidence</w:t>
            </w:r>
          </w:p>
        </w:tc>
        <w:tc>
          <w:tcPr>
            <w:tcW w:type="dxa" w:w="3460"/>
          </w:tcPr>
          <w:p>
            <w:pPr>
              <w:pStyle w:val="TableText"/>
              <w:spacing w:after="0"/>
              <w:jc w:val="left"/>
            </w:pPr>
            <w:r>
              <w:rPr>
                <w:rFonts w:ascii="Calibri" w:hAnsi="Calibri" w:eastAsia="Noto Sans SC"/>
                <w:b w:val="0"/>
                <w:color w:val="2A2422"/>
                <w:sz w:val="17"/>
              </w:rPr>
              <w:t>One strong example beats a prompt collage</w:t>
            </w:r>
          </w:p>
        </w:tc>
      </w:tr>
      <w:tr>
        <w:tc>
          <w:tcPr>
            <w:tcW w:type="dxa" w:w="5900"/>
          </w:tcPr>
          <w:p>
            <w:pPr>
              <w:pStyle w:val="TableText"/>
              <w:spacing w:after="0"/>
              <w:jc w:val="left"/>
            </w:pPr>
            <w:r>
              <w:rPr>
                <w:rFonts w:ascii="Calibri" w:hAnsi="Calibri" w:eastAsia="Noto Sans SC"/>
                <w:b/>
                <w:color w:val="2A2422"/>
                <w:sz w:val="17"/>
              </w:rPr>
              <w:t>Miora proof: prompt, variants, selection, integrated asset</w:t>
            </w:r>
          </w:p>
        </w:tc>
        <w:tc>
          <w:tcPr>
            <w:tcW w:type="dxa" w:w="3460"/>
          </w:tcPr>
          <w:p>
            <w:pPr>
              <w:pStyle w:val="TableText"/>
              <w:spacing w:after="0"/>
              <w:jc w:val="left"/>
            </w:pPr>
            <w:r>
              <w:rPr>
                <w:rFonts w:ascii="Calibri" w:hAnsi="Calibri" w:eastAsia="Noto Sans SC"/>
                <w:b w:val="0"/>
                <w:color w:val="2A2422"/>
                <w:sz w:val="17"/>
              </w:rPr>
              <w:t>Show provenance and human judgement</w:t>
            </w:r>
          </w:p>
        </w:tc>
      </w:tr>
    </w:tbl>
    <w:p>
      <w:pPr>
        <w:spacing w:after="20"/>
      </w:pPr>
    </w:p>
    <w:p>
      <w:pPr>
        <w:pStyle w:val="Heading1"/>
      </w:pPr>
      <w:r>
        <w:t>12. Sources and evidence basis</w:t>
      </w:r>
    </w:p>
    <w:p>
      <w:r>
        <w:rPr>
          <w:rFonts w:ascii="Calibri" w:hAnsi="Calibri" w:eastAsia="Noto Sans SC"/>
          <w:color w:val="2A2422"/>
        </w:rPr>
        <w:t>External facts were rechecked on 12 August 2026. Public event pages may not contain the final instructions sent to finalists; organiser email/Discord remains authoritative for stage logistics.</w:t>
      </w:r>
    </w:p>
    <w:p>
      <w:pPr>
        <w:pStyle w:val="Heading2"/>
      </w:pPr>
      <w:r>
        <w:t>External sources</w:t>
      </w:r>
    </w:p>
    <w:p>
      <w:pPr>
        <w:pStyle w:val="SourceNote"/>
      </w:pPr>
      <w:r>
        <w:rPr>
          <w:rFonts w:ascii="Calibri" w:hAnsi="Calibri" w:eastAsia="Noto Sans SC"/>
          <w:b/>
          <w:color w:val="963E2D"/>
          <w:sz w:val="17"/>
        </w:rPr>
        <w:t xml:space="preserve">[S1] </w:t>
      </w:r>
      <w:hyperlink r:id="rId11">
        <w:r>
          <w:rPr>
            <w:color w:val="963E2D"/>
            <w:u w:val="single"/>
          </w:rPr>
          <w:t>SMU.AI / Luma — Tencent ‘Age Well’ Social Good Challenge Singapore</w:t>
        </w:r>
      </w:hyperlink>
      <w:r>
        <w:rPr>
          <w:rFonts w:ascii="Calibri" w:hAnsi="Calibri" w:eastAsia="Noto Sans SC"/>
          <w:color w:val="6E6662"/>
          <w:sz w:val="17"/>
        </w:rPr>
        <w:t xml:space="preserve"> — Game track, recommended tools, 9 Aug submission, 16 Aug Demo Day and Shenzhen opportunity.</w:t>
      </w:r>
    </w:p>
    <w:p>
      <w:pPr>
        <w:pStyle w:val="SourceNote"/>
      </w:pPr>
      <w:r>
        <w:rPr>
          <w:rFonts w:ascii="Calibri" w:hAnsi="Calibri" w:eastAsia="Noto Sans SC"/>
          <w:b/>
          <w:color w:val="963E2D"/>
          <w:sz w:val="17"/>
        </w:rPr>
        <w:t xml:space="preserve">[S2] </w:t>
      </w:r>
      <w:hyperlink r:id="rId12">
        <w:r>
          <w:rPr>
            <w:color w:val="963E2D"/>
            <w:u w:val="single"/>
          </w:rPr>
          <w:t>Tencent Cloud release — AI for Good: Singapore AI Coding Challenge</w:t>
        </w:r>
      </w:hyperlink>
      <w:r>
        <w:rPr>
          <w:rFonts w:ascii="Calibri" w:hAnsi="Calibri" w:eastAsia="Noto Sans SC"/>
          <w:color w:val="6E6662"/>
          <w:sz w:val="17"/>
        </w:rPr>
        <w:t xml:space="preserve"> — Prior judges, judging emphasis, Auntie AI and EyeDentify.</w:t>
      </w:r>
    </w:p>
    <w:p>
      <w:pPr>
        <w:pStyle w:val="SourceNote"/>
      </w:pPr>
      <w:r>
        <w:rPr>
          <w:rFonts w:ascii="Calibri" w:hAnsi="Calibri" w:eastAsia="Noto Sans SC"/>
          <w:b/>
          <w:color w:val="963E2D"/>
          <w:sz w:val="17"/>
        </w:rPr>
        <w:t xml:space="preserve">[S3] </w:t>
      </w:r>
      <w:hyperlink r:id="rId13">
        <w:r>
          <w:rPr>
            <w:color w:val="963E2D"/>
            <w:u w:val="single"/>
          </w:rPr>
          <w:t>Singapore MOH — Ageing in the community</w:t>
        </w:r>
      </w:hyperlink>
      <w:r>
        <w:rPr>
          <w:rFonts w:ascii="Calibri" w:hAnsi="Calibri" w:eastAsia="Noto Sans SC"/>
          <w:color w:val="6E6662"/>
          <w:sz w:val="17"/>
        </w:rPr>
        <w:t xml:space="preserve"> — Super-aged threshold context, 2026 status and 2030 projection.</w:t>
      </w:r>
    </w:p>
    <w:p>
      <w:pPr>
        <w:pStyle w:val="SourceNote"/>
      </w:pPr>
      <w:r>
        <w:rPr>
          <w:rFonts w:ascii="Calibri" w:hAnsi="Calibri" w:eastAsia="Noto Sans SC"/>
          <w:b/>
          <w:color w:val="963E2D"/>
          <w:sz w:val="17"/>
        </w:rPr>
        <w:t xml:space="preserve">[S4] </w:t>
      </w:r>
      <w:hyperlink r:id="rId14">
        <w:r>
          <w:rPr>
            <w:color w:val="963E2D"/>
            <w:u w:val="single"/>
          </w:rPr>
          <w:t>Singapore MOH — Supporting health and well-being across every life stage</w:t>
        </w:r>
      </w:hyperlink>
      <w:r>
        <w:rPr>
          <w:rFonts w:ascii="Calibri" w:hAnsi="Calibri" w:eastAsia="Noto Sans SC"/>
          <w:color w:val="6E6662"/>
          <w:sz w:val="17"/>
        </w:rPr>
        <w:t xml:space="preserve"> — S$3.5b Age Well SG commitment and 223 Active Ageing Centres by March 2025.</w:t>
      </w:r>
    </w:p>
    <w:p>
      <w:pPr>
        <w:pStyle w:val="SourceNote"/>
      </w:pPr>
      <w:r>
        <w:rPr>
          <w:rFonts w:ascii="Calibri" w:hAnsi="Calibri" w:eastAsia="Noto Sans SC"/>
          <w:b/>
          <w:color w:val="963E2D"/>
          <w:sz w:val="17"/>
        </w:rPr>
        <w:t xml:space="preserve">[S5] </w:t>
      </w:r>
      <w:hyperlink r:id="rId15">
        <w:r>
          <w:rPr>
            <w:color w:val="963E2D"/>
            <w:u w:val="single"/>
          </w:rPr>
          <w:t>Singapore MOH — Three more Age Well Neighbourhoods</w:t>
        </w:r>
      </w:hyperlink>
      <w:r>
        <w:rPr>
          <w:rFonts w:ascii="Calibri" w:hAnsi="Calibri" w:eastAsia="Noto Sans SC"/>
          <w:color w:val="6E6662"/>
          <w:sz w:val="17"/>
        </w:rPr>
        <w:t xml:space="preserve"> — Four neighbourhoods, 110,000+ seniors and rollout details.</w:t>
      </w:r>
    </w:p>
    <w:p>
      <w:pPr>
        <w:pStyle w:val="SourceNote"/>
      </w:pPr>
      <w:r>
        <w:rPr>
          <w:rFonts w:ascii="Calibri" w:hAnsi="Calibri" w:eastAsia="Noto Sans SC"/>
          <w:b/>
          <w:color w:val="963E2D"/>
          <w:sz w:val="17"/>
        </w:rPr>
        <w:t xml:space="preserve">[S6] </w:t>
      </w:r>
      <w:hyperlink r:id="rId16">
        <w:r>
          <w:rPr>
            <w:color w:val="963E2D"/>
            <w:u w:val="single"/>
          </w:rPr>
          <w:t>WHO — Risk reduction of cognitive decline and dementia, second edition</w:t>
        </w:r>
      </w:hyperlink>
      <w:r>
        <w:rPr>
          <w:rFonts w:ascii="Calibri" w:hAnsi="Calibri" w:eastAsia="Noto Sans SC"/>
          <w:color w:val="6E6662"/>
          <w:sz w:val="17"/>
        </w:rPr>
        <w:t xml:space="preserve"> — Updated 15 July 2026 guideline and evidence-gap framing.</w:t>
      </w:r>
    </w:p>
    <w:p>
      <w:pPr>
        <w:pStyle w:val="SourceNote"/>
      </w:pPr>
      <w:r>
        <w:rPr>
          <w:rFonts w:ascii="Calibri" w:hAnsi="Calibri" w:eastAsia="Noto Sans SC"/>
          <w:b/>
          <w:color w:val="963E2D"/>
          <w:sz w:val="17"/>
        </w:rPr>
        <w:t xml:space="preserve">[S7] </w:t>
      </w:r>
      <w:hyperlink r:id="rId17">
        <w:r>
          <w:rPr>
            <w:color w:val="963E2D"/>
            <w:u w:val="single"/>
          </w:rPr>
          <w:t>Yoong et al. — Dance exergames for older adults</w:t>
        </w:r>
      </w:hyperlink>
      <w:r>
        <w:rPr>
          <w:rFonts w:ascii="Calibri" w:hAnsi="Calibri" w:eastAsia="Noto Sans SC"/>
          <w:color w:val="6E6662"/>
          <w:sz w:val="17"/>
        </w:rPr>
        <w:t xml:space="preserve"> — 2024 systematic review and meta-analysis; feasibility, usability, safety and limitations.</w:t>
      </w:r>
    </w:p>
    <w:p>
      <w:pPr>
        <w:pStyle w:val="SourceNote"/>
      </w:pPr>
      <w:r>
        <w:rPr>
          <w:rFonts w:ascii="Calibri" w:hAnsi="Calibri" w:eastAsia="Noto Sans SC"/>
          <w:b/>
          <w:color w:val="963E2D"/>
          <w:sz w:val="17"/>
        </w:rPr>
        <w:t xml:space="preserve">[S8] </w:t>
      </w:r>
      <w:hyperlink r:id="rId18">
        <w:r>
          <w:rPr>
            <w:color w:val="963E2D"/>
            <w:u w:val="single"/>
          </w:rPr>
          <w:t>Zhang et al. — Effects of dance interventions in older adults</w:t>
        </w:r>
      </w:hyperlink>
      <w:r>
        <w:rPr>
          <w:rFonts w:ascii="Calibri" w:hAnsi="Calibri" w:eastAsia="Noto Sans SC"/>
          <w:color w:val="6E6662"/>
          <w:sz w:val="17"/>
        </w:rPr>
        <w:t xml:space="preserve"> — 2025 network meta-analysis; 28 studies and 1,967 participants.</w:t>
      </w:r>
    </w:p>
    <w:p>
      <w:pPr>
        <w:pStyle w:val="SourceNote"/>
      </w:pPr>
      <w:r>
        <w:rPr>
          <w:rFonts w:ascii="Calibri" w:hAnsi="Calibri" w:eastAsia="Noto Sans SC"/>
          <w:b/>
          <w:color w:val="963E2D"/>
          <w:sz w:val="17"/>
        </w:rPr>
        <w:t xml:space="preserve">[S9] </w:t>
      </w:r>
      <w:hyperlink r:id="rId19">
        <w:r>
          <w:rPr>
            <w:color w:val="963E2D"/>
            <w:u w:val="single"/>
          </w:rPr>
          <w:t>Green et al. — Dance interventions for falls prevention</w:t>
        </w:r>
      </w:hyperlink>
      <w:r>
        <w:rPr>
          <w:rFonts w:ascii="Calibri" w:hAnsi="Calibri" w:eastAsia="Noto Sans SC"/>
          <w:color w:val="6E6662"/>
          <w:sz w:val="17"/>
        </w:rPr>
        <w:t xml:space="preserve"> — 2024 review; very-low-certainty falls evidence and no robust cost-effectiveness evidence.</w:t>
      </w:r>
    </w:p>
    <w:p>
      <w:pPr>
        <w:pStyle w:val="SourceNote"/>
      </w:pPr>
      <w:r>
        <w:rPr>
          <w:rFonts w:ascii="Calibri" w:hAnsi="Calibri" w:eastAsia="Noto Sans SC"/>
          <w:b/>
          <w:color w:val="963E2D"/>
          <w:sz w:val="17"/>
        </w:rPr>
        <w:t xml:space="preserve">[S10] </w:t>
      </w:r>
      <w:hyperlink r:id="rId20">
        <w:r>
          <w:rPr>
            <w:color w:val="963E2D"/>
            <w:u w:val="single"/>
          </w:rPr>
          <w:t>WHO Western Pacific — Ageing and health</w:t>
        </w:r>
      </w:hyperlink>
      <w:r>
        <w:rPr>
          <w:rFonts w:ascii="Calibri" w:hAnsi="Calibri" w:eastAsia="Noto Sans SC"/>
          <w:color w:val="6E6662"/>
          <w:sz w:val="17"/>
        </w:rPr>
        <w:t xml:space="preserve"> — Regional ageing context and the need for community support.</w:t>
      </w:r>
    </w:p>
    <w:p>
      <w:pPr>
        <w:pStyle w:val="SourceNote"/>
      </w:pPr>
      <w:r>
        <w:rPr>
          <w:rFonts w:ascii="Calibri" w:hAnsi="Calibri" w:eastAsia="Noto Sans SC"/>
          <w:b/>
          <w:color w:val="963E2D"/>
          <w:sz w:val="17"/>
        </w:rPr>
        <w:t xml:space="preserve">[S11] </w:t>
      </w:r>
      <w:hyperlink r:id="rId21">
        <w:r>
          <w:rPr>
            <w:color w:val="963E2D"/>
            <w:u w:val="single"/>
          </w:rPr>
          <w:t>Singapore MOH — Committee of Supply 2026 speech on super-aged Singapore</w:t>
        </w:r>
      </w:hyperlink>
      <w:r>
        <w:rPr>
          <w:rFonts w:ascii="Calibri" w:hAnsi="Calibri" w:eastAsia="Noto Sans SC"/>
          <w:color w:val="6E6662"/>
          <w:sz w:val="17"/>
        </w:rPr>
        <w:t xml:space="preserve"> — Official March 2026 statement and 2030 ageing projection.</w:t>
      </w:r>
    </w:p>
    <w:p>
      <w:pPr>
        <w:pStyle w:val="Heading2"/>
      </w:pPr>
      <w:r>
        <w:t>Repository sources</w:t>
      </w:r>
    </w:p>
    <w:p>
      <w:pPr>
        <w:pStyle w:val="SourceNote"/>
      </w:pPr>
      <w:r>
        <w:rPr>
          <w:rFonts w:ascii="Calibri" w:hAnsi="Calibri" w:eastAsia="Noto Sans SC"/>
          <w:b/>
          <w:color w:val="963E2D"/>
          <w:sz w:val="17"/>
        </w:rPr>
        <w:t xml:space="preserve">[R1] </w:t>
      </w:r>
      <w:r>
        <w:rPr>
          <w:rFonts w:ascii="Consolas" w:hAnsi="Consolas" w:eastAsia="Noto Sans SC"/>
          <w:color w:val="2A2422"/>
          <w:sz w:val="16"/>
        </w:rPr>
        <w:t>docs/PRODUCT_REQUIREMENTS.md</w:t>
      </w:r>
      <w:r>
        <w:rPr>
          <w:rFonts w:ascii="Calibri" w:hAnsi="Calibri" w:eastAsia="Noto Sans SC"/>
          <w:color w:val="6E6662"/>
          <w:sz w:val="17"/>
        </w:rPr>
        <w:t xml:space="preserve"> — product vision, four-minute loop, scoring rubric from supplied training deck, claims and demo storyboard.</w:t>
      </w:r>
    </w:p>
    <w:p>
      <w:pPr>
        <w:pStyle w:val="SourceNote"/>
      </w:pPr>
      <w:r>
        <w:rPr>
          <w:rFonts w:ascii="Calibri" w:hAnsi="Calibri" w:eastAsia="Noto Sans SC"/>
          <w:b/>
          <w:color w:val="963E2D"/>
          <w:sz w:val="17"/>
        </w:rPr>
        <w:t xml:space="preserve">[R2] </w:t>
      </w:r>
      <w:r>
        <w:rPr>
          <w:rFonts w:ascii="Consolas" w:hAnsi="Consolas" w:eastAsia="Noto Sans SC"/>
          <w:color w:val="2A2422"/>
          <w:sz w:val="16"/>
        </w:rPr>
        <w:t>docs/context/current-project-state.md</w:t>
      </w:r>
      <w:r>
        <w:rPr>
          <w:rFonts w:ascii="Calibri" w:hAnsi="Calibri" w:eastAsia="Noto Sans SC"/>
          <w:color w:val="6E6662"/>
          <w:sz w:val="17"/>
        </w:rPr>
        <w:t xml:space="preserve"> — latest recorded implementation, automated evidence and open gates.</w:t>
      </w:r>
    </w:p>
    <w:p>
      <w:pPr>
        <w:pStyle w:val="SourceNote"/>
      </w:pPr>
      <w:r>
        <w:rPr>
          <w:rFonts w:ascii="Calibri" w:hAnsi="Calibri" w:eastAsia="Noto Sans SC"/>
          <w:b/>
          <w:color w:val="963E2D"/>
          <w:sz w:val="17"/>
        </w:rPr>
        <w:t xml:space="preserve">[R3] </w:t>
      </w:r>
      <w:r>
        <w:rPr>
          <w:rFonts w:ascii="Consolas" w:hAnsi="Consolas" w:eastAsia="Noto Sans SC"/>
          <w:color w:val="2A2422"/>
          <w:sz w:val="16"/>
        </w:rPr>
        <w:t>docs/engineering/m1-technical-proof.md</w:t>
      </w:r>
      <w:r>
        <w:rPr>
          <w:rFonts w:ascii="Calibri" w:hAnsi="Calibri" w:eastAsia="Noto Sans SC"/>
          <w:color w:val="6E6662"/>
          <w:sz w:val="17"/>
        </w:rPr>
        <w:t xml:space="preserve"> — pose/hand provider, synthetic timing, camera boundary, evidence gaps and licences.</w:t>
      </w:r>
    </w:p>
    <w:p>
      <w:pPr>
        <w:pStyle w:val="SourceNote"/>
      </w:pPr>
      <w:r>
        <w:rPr>
          <w:rFonts w:ascii="Calibri" w:hAnsi="Calibri" w:eastAsia="Noto Sans SC"/>
          <w:b/>
          <w:color w:val="963E2D"/>
          <w:sz w:val="17"/>
        </w:rPr>
        <w:t xml:space="preserve">[R4] </w:t>
      </w:r>
      <w:r>
        <w:rPr>
          <w:rFonts w:ascii="Consolas" w:hAnsi="Consolas" w:eastAsia="Noto Sans SC"/>
          <w:color w:val="2A2422"/>
          <w:sz w:val="16"/>
        </w:rPr>
        <w:t>docs/engineering/m2-vertical-slice-evidence.md</w:t>
      </w:r>
      <w:r>
        <w:rPr>
          <w:rFonts w:ascii="Calibri" w:hAnsi="Calibri" w:eastAsia="Noto Sans SC"/>
          <w:color w:val="6E6662"/>
          <w:sz w:val="17"/>
        </w:rPr>
        <w:t xml:space="preserve"> — implemented player journey and local browser evidence.</w:t>
      </w:r>
    </w:p>
    <w:p>
      <w:pPr>
        <w:pStyle w:val="SourceNote"/>
      </w:pPr>
      <w:r>
        <w:rPr>
          <w:rFonts w:ascii="Calibri" w:hAnsi="Calibri" w:eastAsia="Noto Sans SC"/>
          <w:b/>
          <w:color w:val="963E2D"/>
          <w:sz w:val="17"/>
        </w:rPr>
        <w:t xml:space="preserve">[R5] </w:t>
      </w:r>
      <w:r>
        <w:rPr>
          <w:rFonts w:ascii="Consolas" w:hAnsi="Consolas" w:eastAsia="Noto Sans SC"/>
          <w:color w:val="2A2422"/>
          <w:sz w:val="16"/>
        </w:rPr>
        <w:t>docs/engineering/m3-longitudinal-supporter-evidence.md</w:t>
      </w:r>
      <w:r>
        <w:rPr>
          <w:rFonts w:ascii="Calibri" w:hAnsi="Calibri" w:eastAsia="Noto Sans SC"/>
          <w:color w:val="6E6662"/>
          <w:sz w:val="17"/>
        </w:rPr>
        <w:t xml:space="preserve"> — trend, simulation, grant, revocation and unavailable transport.</w:t>
      </w:r>
    </w:p>
    <w:p>
      <w:pPr>
        <w:pStyle w:val="SourceNote"/>
      </w:pPr>
      <w:r>
        <w:rPr>
          <w:rFonts w:ascii="Calibri" w:hAnsi="Calibri" w:eastAsia="Noto Sans SC"/>
          <w:b/>
          <w:color w:val="963E2D"/>
          <w:sz w:val="17"/>
        </w:rPr>
        <w:t xml:space="preserve">[R6] </w:t>
      </w:r>
      <w:r>
        <w:rPr>
          <w:rFonts w:ascii="Consolas" w:hAnsi="Consolas" w:eastAsia="Noto Sans SC"/>
          <w:color w:val="2A2422"/>
          <w:sz w:val="16"/>
        </w:rPr>
        <w:t>docs/engineering/prd-acceptance-audit.md</w:t>
      </w:r>
      <w:r>
        <w:rPr>
          <w:rFonts w:ascii="Calibri" w:hAnsi="Calibri" w:eastAsia="Noto Sans SC"/>
          <w:color w:val="6E6662"/>
          <w:sz w:val="17"/>
        </w:rPr>
        <w:t xml:space="preserve"> — requirement-by-requirement status and external gates.</w:t>
      </w:r>
    </w:p>
    <w:p>
      <w:pPr>
        <w:pStyle w:val="SourceNote"/>
      </w:pPr>
      <w:r>
        <w:rPr>
          <w:rFonts w:ascii="Calibri" w:hAnsi="Calibri" w:eastAsia="Noto Sans SC"/>
          <w:b/>
          <w:color w:val="963E2D"/>
          <w:sz w:val="17"/>
        </w:rPr>
        <w:t xml:space="preserve">[R7] </w:t>
      </w:r>
      <w:r>
        <w:rPr>
          <w:rFonts w:ascii="Consolas" w:hAnsi="Consolas" w:eastAsia="Noto Sans SC"/>
          <w:color w:val="2A2422"/>
          <w:sz w:val="16"/>
        </w:rPr>
        <w:t>docs/adr/0001–0005</w:t>
      </w:r>
      <w:r>
        <w:rPr>
          <w:rFonts w:ascii="Calibri" w:hAnsi="Calibri" w:eastAsia="Noto Sans SC"/>
          <w:color w:val="6E6662"/>
          <w:sz w:val="17"/>
        </w:rPr>
        <w:t xml:space="preserve"> — local-first camera, one player, wellness boundary, check-in boundary and browser stack decisions.</w:t>
      </w:r>
    </w:p>
    <w:p>
      <w:pPr>
        <w:pStyle w:val="SourceNote"/>
      </w:pPr>
      <w:r>
        <w:rPr>
          <w:rFonts w:ascii="Calibri" w:hAnsi="Calibri" w:eastAsia="Noto Sans SC"/>
          <w:b/>
          <w:color w:val="963E2D"/>
          <w:sz w:val="17"/>
        </w:rPr>
        <w:t xml:space="preserve">[R8] </w:t>
      </w:r>
      <w:r>
        <w:rPr>
          <w:rFonts w:ascii="Consolas" w:hAnsi="Consolas" w:eastAsia="Noto Sans SC"/>
          <w:color w:val="2A2422"/>
          <w:sz w:val="16"/>
        </w:rPr>
        <w:t>attached pasted-text.txt</w:t>
      </w:r>
      <w:r>
        <w:rPr>
          <w:rFonts w:ascii="Calibri" w:hAnsi="Calibri" w:eastAsia="Noto Sans SC"/>
          <w:color w:val="6E6662"/>
          <w:sz w:val="17"/>
        </w:rPr>
        <w:t xml:space="preserve"> — original judging notes and questions supplied by the user; independently rechecked where possible.</w:t>
      </w:r>
    </w:p>
    <w:p>
      <w:pPr>
        <w:spacing w:before="80" w:after="180" w:line="283" w:lineRule="auto"/>
        <w:ind w:left="187" w:right="115"/>
        <w:shd w:fill="EDF4EE"/>
        <w:pBdr>
          <w:left w:val="single" w:sz="14" w:space="8" w:color="5A805E"/>
        </w:pBdr>
      </w:pPr>
      <w:r>
        <w:rPr>
          <w:rFonts w:ascii="Calibri" w:hAnsi="Calibri" w:eastAsia="Noto Sans SC"/>
          <w:b/>
          <w:color w:val="5F241C"/>
          <w:sz w:val="21"/>
        </w:rPr>
        <w:t xml:space="preserve">Final reminder: </w:t>
      </w:r>
      <w:r>
        <w:rPr>
          <w:rFonts w:ascii="Calibri" w:hAnsi="Calibri" w:eastAsia="Noto Sans SC"/>
          <w:color w:val="2A2422"/>
          <w:sz w:val="21"/>
        </w:rPr>
        <w:t>The product’s restraint is not an apology. In a health-adjacent game for older adults, explainability, consent and an honest ‘we do not know yet’ are part of project quality.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Noto Sans SC"/>
        <w:color w:val="6E6662"/>
        <w:sz w:val="16"/>
      </w:rPr>
      <w:t>INTERNAL FINALIST PREP • VERIFY OPEN GATES BEFORE SPEAKING</w:t>
    </w:r>
    <w:r>
      <w:tab/>
    </w:r>
    <w:r>
      <w:rPr>
        <w:rFonts w:ascii="Calibri" w:hAnsi="Calibri" w:eastAsia="Noto Sans SC"/>
        <w:color w:val="6E6662"/>
        <w:sz w:val="17"/>
      </w:rPr>
      <w:t xml:space="preserve">PAGE </w:t>
    </w:r>
    <w:r>
      <w:rPr>
        <w:rFonts w:ascii="Calibri" w:hAnsi="Calibri" w:eastAsia="Noto Sans SC"/>
        <w:color w:val="6E6662"/>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Bdr>
        <w:bottom w:val="single" w:sz="4" w:space="4" w:color="D7D3D0"/>
      </w:pBdr>
    </w:pPr>
    <w:r>
      <w:rPr>
        <w:rFonts w:ascii="Calibri" w:hAnsi="Calibri" w:eastAsia="Noto Sans SC"/>
        <w:b/>
        <w:color w:val="6E6662"/>
        <w:sz w:val="17"/>
      </w:rPr>
      <w:t>舞伴 • FINALIST PITCH PLAYBOOK</w:t>
    </w:r>
    <w:r>
      <w:tab/>
    </w:r>
    <w:r>
      <w:rPr>
        <w:rFonts w:ascii="Calibri" w:hAnsi="Calibri" w:eastAsia="Noto Sans SC"/>
        <w:color w:val="6E6662"/>
        <w:sz w:val="17"/>
      </w:rPr>
      <w:t>12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Noto Sans SC"/>
      <w:color w:val="2A24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Noto Sans SC"/>
      <w:b/>
      <w:bCs/>
      <w:color w:val="963E2D"/>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Noto Sans SC"/>
      <w:b/>
      <w:bCs/>
      <w:color w:val="963E2D"/>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Noto Sans SC"/>
      <w:b/>
      <w:bCs/>
      <w:color w:val="5F24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Noto Serif SC" w:hAnsi="Noto Serif SC" w:eastAsia="Noto Serif SC"/>
      <w:b/>
      <w:color w:val="5F24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80"/>
      <w:jc w:val="center"/>
    </w:pPr>
    <w:rPr>
      <w:rFonts w:asciiTheme="majorHAnsi" w:eastAsiaTheme="majorEastAsia" w:hAnsiTheme="majorHAnsi" w:cstheme="majorBidi" w:ascii="Calibri" w:hAnsi="Calibri" w:eastAsia="Noto Sans SC"/>
      <w:i/>
      <w:iCs/>
      <w:color w:val="6E6662"/>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spacing w:before="0" w:after="280"/>
      <w:jc w:val="center"/>
    </w:pPr>
    <w:rPr>
      <w:rFonts w:ascii="Calibri" w:hAnsi="Calibri"/>
      <w:b/>
      <w:color w:val="B9822F"/>
      <w:sz w:val="20"/>
    </w:rPr>
  </w:style>
  <w:style w:type="paragraph" w:customStyle="1" w:styleId="PitchScript">
    <w:name w:val="Pitch Script"/>
    <w:basedOn w:val="Normal"/>
    <w:pPr>
      <w:spacing w:before="60" w:after="160" w:line="288" w:lineRule="auto"/>
      <w:ind w:left="230" w:right="115"/>
    </w:pPr>
    <w:rPr>
      <w:rFonts w:ascii="Calibri" w:hAnsi="Calibri"/>
      <w:color w:val="2A2422"/>
      <w:sz w:val="21"/>
    </w:rPr>
  </w:style>
  <w:style w:type="paragraph" w:customStyle="1" w:styleId="SourceNote">
    <w:name w:val="Source Note"/>
    <w:basedOn w:val="Normal"/>
    <w:pPr>
      <w:spacing w:after="80" w:line="264" w:lineRule="auto"/>
    </w:pPr>
    <w:rPr>
      <w:rFonts w:ascii="Calibri" w:hAnsi="Calibri"/>
      <w:color w:val="6E6662"/>
      <w:sz w:val="17"/>
    </w:rPr>
  </w:style>
  <w:style w:type="paragraph" w:customStyle="1" w:styleId="TableText">
    <w:name w:val="Table Text"/>
    <w:basedOn w:val="Normal"/>
    <w:pPr>
      <w:spacing w:before="0" w:after="0" w:line="269"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uma.com/6v43opxu" TargetMode="External"/><Relationship Id="rId12" Type="http://schemas.openxmlformats.org/officeDocument/2006/relationships/hyperlink" Target="https://www.prnewswire.com/apac/news-releases/ai-for-good-tencent-cloud-empowers-youths-to-build-what-matters-at-the-ai-coding-challenge-in-singapore-302770519.html" TargetMode="External"/><Relationship Id="rId13" Type="http://schemas.openxmlformats.org/officeDocument/2006/relationships/hyperlink" Target="https://www.moh.gov.sg/ageing-well/ageing-in-the-community/" TargetMode="External"/><Relationship Id="rId14" Type="http://schemas.openxmlformats.org/officeDocument/2006/relationships/hyperlink" Target="https://www.moh.gov.sg/newsroom/supporting-health-and-well-being-across-every-life-stage/" TargetMode="External"/><Relationship Id="rId15" Type="http://schemas.openxmlformats.org/officeDocument/2006/relationships/hyperlink" Target="https://www.moh.gov.sg/newsroom/three-more-age-well-neighbourhoods-to-strengthen-support-for-seniors-in-the-community/" TargetMode="External"/><Relationship Id="rId16" Type="http://schemas.openxmlformats.org/officeDocument/2006/relationships/hyperlink" Target="https://www.who.int/publications/i/item/9789240123557" TargetMode="External"/><Relationship Id="rId17" Type="http://schemas.openxmlformats.org/officeDocument/2006/relationships/hyperlink" Target="https://pubmed.ncbi.nlm.nih.gov/38306590/" TargetMode="External"/><Relationship Id="rId18" Type="http://schemas.openxmlformats.org/officeDocument/2006/relationships/hyperlink" Target="https://pubmed.ncbi.nlm.nih.gov/39923448/" TargetMode="External"/><Relationship Id="rId19" Type="http://schemas.openxmlformats.org/officeDocument/2006/relationships/hyperlink" Target="https://pubmed.ncbi.nlm.nih.gov/38776214/" TargetMode="External"/><Relationship Id="rId20" Type="http://schemas.openxmlformats.org/officeDocument/2006/relationships/hyperlink" Target="https://www.who.int/westernpacific/health-topics/ageing" TargetMode="External"/><Relationship Id="rId21" Type="http://schemas.openxmlformats.org/officeDocument/2006/relationships/hyperlink" Target="https://www.moh.gov.sg/newsroom/speech-by-mr-tan-kiat-how--senior-minister-of-state--ministry-of-digital-development-and-information---ministry-of-health--at-the-ministry-of-health-committee-of-supply-debate-2026--on-5-march-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舞伴 (Wǔbàn) — Tencent Age Well Finalist Pitch Playbook</dc:title>
  <dc:subject>10-minute finalist pitch, demo choreography, Q&amp;A and evidence plan</dc:subject>
  <dc:creator>DanceBros / 舞伴 team</dc:creator>
  <cp:keywords>Tencent, Age Well, Wuban, DanceBros, pitch, demo, responsible AI</cp:keywords>
  <dc:description>generated by python-docx</dc:description>
  <cp:lastModifiedBy/>
  <cp:revision>1</cp:revision>
  <dcterms:created xsi:type="dcterms:W3CDTF">2013-12-23T23:15:00Z</dcterms:created>
  <dcterms:modified xsi:type="dcterms:W3CDTF">2013-12-23T23:15:00Z</dcterms:modified>
  <cp:category/>
</cp:coreProperties>
</file>