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E2553F"/>
          <w:sz w:val="22"/>
          <w:szCs w:val="22"/>
        </w:rPr>
        <w:t xml:space="preserve">DRC Pay</w:t>
      </w:r>
    </w:p>
    <w:p>
      <w:pPr>
        <w:spacing w:after="40"/>
        <w:jc w:val="center"/>
      </w:pPr>
      <w:r>
        <w:rPr>
          <w:b/>
          <w:bCs/>
          <w:color w:val="1A1A1A"/>
          <w:sz w:val="34"/>
          <w:szCs w:val="34"/>
        </w:rPr>
        <w:t xml:space="preserve">Rented Rails: Per-Transaction Cost Breakdown</w:t>
      </w:r>
    </w:p>
    <w:p>
      <w:pPr>
        <w:spacing w:after="40"/>
        <w:jc w:val="center"/>
      </w:pPr>
      <w:r>
        <w:rPr>
          <w:i/>
          <w:iCs/>
          <w:color w:val="5A5A57"/>
          <w:sz w:val="20"/>
          <w:szCs w:val="20"/>
        </w:rPr>
        <w:t xml:space="preserve">What each transaction costs to run, and how much is taken out of the charge — by network pair and channel.</w:t>
      </w:r>
    </w:p>
    <w:p>
      <w:pPr>
        <w:spacing w:after="40"/>
        <w:jc w:val="center"/>
      </w:pPr>
      <w:r>
        <w:rPr>
          <w:color w:val="5A5A57"/>
          <w:sz w:val="16"/>
          <w:szCs w:val="16"/>
        </w:rPr>
        <w:t xml:space="preserve">2026-06-19 · Internal working analysis · figures from drc-mvp-research; confidence labelled per item. Supersedes the 2026-06-12 version — currency-exchange costs removed (our interoperability target is between mobile-money operators, not currency conversion).</w:t>
      </w:r>
    </w:p>
    <w:p>
      <w:pPr>
        <w:pBdr>
          <w:bottom w:val="single" w:color="E2553F" w:sz="6" w:space="6"/>
        </w:pBdr>
        <w:spacing w:after="120"/>
      </w:pPr>
    </w:p>
    <w:p>
      <w:pPr>
        <w:pStyle w:val="Heading2"/>
      </w:pPr>
      <w:r>
        <w:t xml:space="preserve">1.  Bottom line</w:t>
      </w:r>
    </w:p>
    <w:p>
      <w:pPr>
        <w:spacing w:after="120"/>
      </w:pPr>
      <w:r>
        <w:rPr>
          <w:b w:val="false"/>
          <w:bCs w:val="false"/>
        </w:rPr>
        <w:t xml:space="preserve">We run the merchant-acquiring MVP on rented infrastructure — we pay other companies for the parts of the stack we don’t yet own. There are two rented rails: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pawaPay</w:t>
      </w:r>
      <w:r>
        <w:rPr>
          <w:b w:val="false"/>
          <w:bCs w:val="false"/>
        </w:rPr>
        <w:t xml:space="preserve"> — the payment rail that actually moves the money: it collects from the customer and settles to the merchant, bridging networks when they differ.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 USSD gateway</w:t>
      </w:r>
      <w:r>
        <w:rPr>
          <w:b w:val="false"/>
          <w:bCs w:val="false"/>
        </w:rPr>
        <w:t xml:space="preserve"> (Africa’s Talking, or Infobip) — the channel rail that carries the “dial-a-code to pay” menu on any phone, no internet or app needed.</w:t>
      </w:r>
    </w:p>
    <w:p>
      <w:pPr>
        <w:spacing w:after="120"/>
      </w:pPr>
      <w:r>
        <w:rPr>
          <w:b w:val="false"/>
          <w:bCs w:val="false"/>
        </w:rPr>
        <w:t xml:space="preserve">Moving one payment costs </w:t>
      </w:r>
      <w:r>
        <w:rPr>
          <w:b/>
          <w:bCs/>
        </w:rPr>
        <w:t xml:space="preserve">3.5–5% of the charge</w:t>
      </w:r>
      <w:r>
        <w:rPr>
          <w:b w:val="false"/>
          <w:bCs w:val="false"/>
        </w:rPr>
        <w:t xml:space="preserve"> (pawaPay’s two legs) plus, only on the USSD channel, a flat </w:t>
      </w:r>
      <w:r>
        <w:rPr>
          <w:b/>
          <w:bCs/>
        </w:rPr>
        <w:t xml:space="preserve">~$0.034 per dial</w:t>
      </w:r>
      <w:r>
        <w:rPr>
          <w:b w:val="false"/>
          <w:bCs w:val="false"/>
        </w:rPr>
        <w:t xml:space="preserve">. Separate fixed USSD costs (~$1,000 setup + ~$600/month for the dialing code) are not per-transaction and need volume to absorb. Today we </w:t>
      </w:r>
      <w:r>
        <w:rPr>
          <w:b/>
          <w:bCs/>
        </w:rPr>
        <w:t xml:space="preserve">pass the rails cost straight through</w:t>
      </w:r>
      <w:r>
        <w:rPr>
          <w:b w:val="false"/>
          <w:bCs w:val="false"/>
        </w:rPr>
        <w:t xml:space="preserve"> — the merchant absorbs it and we add no margin yet — so payments are </w:t>
      </w:r>
      <w:r>
        <w:rPr>
          <w:b/>
          <w:bCs/>
        </w:rPr>
        <w:t xml:space="preserve">break-even by design</w:t>
      </w:r>
      <w:r>
        <w:rPr>
          <w:b w:val="false"/>
          <w:bCs w:val="false"/>
        </w:rPr>
        <w:t xml:space="preserve">. The larger margin comes later, from the merchant base — lending above all. Driving rail costs down (negotiating operators’ rates, removing middlemen) widens the thin margin as we scale, but cannot escape the operators’ structural cut.</w:t>
      </w:r>
    </w:p>
    <w:p>
      <w:pPr>
        <w:pStyle w:val="Heading2"/>
      </w:pPr>
      <w:r>
        <w:t xml:space="preserve">2.  What we rent, and what it costs (per transaction)</w:t>
      </w:r>
    </w:p>
    <w:p>
      <w:pPr>
        <w:spacing w:after="120"/>
      </w:pPr>
      <w:r>
        <w:rPr>
          <w:b w:val="false"/>
          <w:bCs w:val="false"/>
        </w:rPr>
        <w:t xml:space="preserve">Two rented rails carry the per-transaction cost. We exclude currency exchange — our target is interoperability between mobile-money operators, not currency conversion — and settlement-to-bank, which is the merchant’s own later cash-out, not part of our collect-then-settle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Rented item</w:t>
            </w:r>
          </w:p>
        </w:tc>
        <w:tc>
          <w:tcPr>
            <w:tcW w:type="dxa" w:w="3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What it charges (per transaction)</w:t>
            </w:r>
          </w:p>
        </w:tc>
        <w:tc>
          <w:tcPr>
            <w:tcW w:type="dxa" w:w="39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pawaPay</w:t>
            </w:r>
            <w:r>
              <w:rPr>
                <w:b w:val="false"/>
                <w:bCs w:val="false"/>
              </w:rPr>
              <w:t xml:space="preserve"> (payment rail)</w:t>
            </w:r>
          </w:p>
        </w:tc>
        <w:tc>
          <w:tcPr>
            <w:tcW w:type="dxa" w:w="3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3.5–5% per transaction (collect + settle combined)</w:t>
            </w:r>
          </w:p>
        </w:tc>
        <w:tc>
          <w:tcPr>
            <w:tcW w:type="dxa" w:w="39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Most of it passes through to the operators · Med–High confidence</w:t>
            </w:r>
          </w:p>
        </w:tc>
      </w:tr>
      <w:tr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USSD gateway</w:t>
            </w:r>
            <w:r>
              <w:rPr>
                <w:b w:val="false"/>
                <w:bCs w:val="false"/>
              </w:rPr>
              <w:t xml:space="preserve"> (channel rail)</w:t>
            </w:r>
          </w:p>
        </w:tc>
        <w:tc>
          <w:tcPr>
            <w:tcW w:type="dxa" w:w="3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~$0.034 per dial (per transaction)</w:t>
            </w:r>
          </w:p>
        </w:tc>
        <w:tc>
          <w:tcPr>
            <w:tcW w:type="dxa" w:w="39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Plus fixed ~$1,000 setup + ~$600/mo (~$200/operator) — not per-transaction · Medium confidence</w:t>
            </w:r>
          </w:p>
        </w:tc>
      </w:tr>
    </w:tbl>
    <w:p>
      <w:pPr>
        <w:pStyle w:val="Heading3"/>
      </w:pPr>
      <w:r>
        <w:t xml:space="preserve">Inside pawaPay’s fee — per leg</w:t>
      </w:r>
    </w:p>
    <w:p>
      <w:pPr>
        <w:spacing w:after="120"/>
      </w:pPr>
      <w:r>
        <w:rPr>
          <w:b w:val="false"/>
          <w:bCs w:val="false"/>
        </w:rPr>
        <w:t xml:space="preserve">pawaPay charges a percentage on each of the two money-moves; a round-trip adds the two together. The rate is set by the </w:t>
      </w:r>
      <w:r>
        <w:rPr>
          <w:b/>
          <w:bCs/>
        </w:rPr>
        <w:t xml:space="preserve">payer’s</w:t>
      </w:r>
      <w:r>
        <w:rPr>
          <w:b w:val="false"/>
          <w:bCs w:val="false"/>
        </w:rPr>
        <w:t xml:space="preserve"> network (collection) and the </w:t>
      </w:r>
      <w:r>
        <w:rPr>
          <w:b/>
          <w:bCs/>
        </w:rPr>
        <w:t xml:space="preserve">merchant’s</w:t>
      </w:r>
      <w:r>
        <w:rPr>
          <w:b w:val="false"/>
          <w:bCs w:val="false"/>
        </w:rPr>
        <w:t xml:space="preserve"> network (settlement).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Pull from the customer (collection)</w:t>
            </w:r>
          </w:p>
        </w:tc>
        <w:tc>
          <w:tcPr>
            <w:tcW w:type="dxa" w:w="3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Pay out to the merchant (settlement)</w:t>
            </w:r>
          </w:p>
        </w:tc>
      </w:tr>
      <w:tr>
        <w:tc>
          <w:tcPr>
            <w:tcW w:type="dxa" w:w="33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Vodacom M-Pesa</w:t>
            </w:r>
          </w:p>
        </w:tc>
        <w:tc>
          <w:tcPr>
            <w:tcW w:type="dxa" w:w="3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2.5%</w:t>
            </w:r>
          </w:p>
        </w:tc>
        <w:tc>
          <w:tcPr>
            <w:tcW w:type="dxa" w:w="3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2.0%</w:t>
            </w:r>
          </w:p>
        </w:tc>
      </w:tr>
      <w:tr>
        <w:tc>
          <w:tcPr>
            <w:tcW w:type="dxa" w:w="33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Airtel</w:t>
            </w:r>
          </w:p>
        </w:tc>
        <w:tc>
          <w:tcPr>
            <w:tcW w:type="dxa" w:w="3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3.0%</w:t>
            </w:r>
          </w:p>
        </w:tc>
        <w:tc>
          <w:tcPr>
            <w:tcW w:type="dxa" w:w="3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2.0%</w:t>
            </w:r>
          </w:p>
        </w:tc>
      </w:tr>
      <w:tr>
        <w:tc>
          <w:tcPr>
            <w:tcW w:type="dxa" w:w="33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3.0%</w:t>
            </w:r>
          </w:p>
        </w:tc>
        <w:tc>
          <w:tcPr>
            <w:tcW w:type="dxa" w:w="30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1.0%</w:t>
            </w:r>
          </w:p>
        </w:tc>
      </w:tr>
    </w:tbl>
    <w:p>
      <w:pPr>
        <w:spacing w:after="160"/>
      </w:pPr>
      <w:r>
        <w:rPr>
          <w:b w:val="false"/>
          <w:bCs w:val="false"/>
        </w:rPr>
        <w:t xml:space="preserve">Round-trip range: </w:t>
      </w:r>
      <w:r>
        <w:rPr>
          <w:b/>
          <w:bCs/>
        </w:rPr>
        <w:t xml:space="preserve">3.5%</w:t>
      </w:r>
      <w:r>
        <w:rPr>
          <w:b w:val="false"/>
          <w:bCs w:val="false"/>
        </w:rPr>
        <w:t xml:space="preserve"> (cheapest — e.g. M-Pesa → Orange) to </w:t>
      </w:r>
      <w:r>
        <w:rPr>
          <w:b/>
          <w:bCs/>
        </w:rPr>
        <w:t xml:space="preserve">5.0%</w:t>
      </w:r>
      <w:r>
        <w:rPr>
          <w:b w:val="false"/>
          <w:bCs w:val="false"/>
        </w:rPr>
        <w:t xml:space="preserve"> (e.g. Airtel → M-Pesa). The operators’ own cut is the larger part (~1.5–2% of the collection leg); pawaPay’s markup is only ~1% per leg — so removing pawaPay would save only its markup, because the operators own the wallets. pawaPay’s standard plan has no setup or monthly fee.</w:t>
      </w:r>
    </w:p>
    <w:p>
      <w:pPr>
        <w:pStyle w:val="Heading2"/>
      </w:pPr>
      <w:r>
        <w:t xml:space="preserve">3.  Per-transaction cost — exactly what comes out of the charge</w:t>
      </w:r>
    </w:p>
    <w:p>
      <w:pPr>
        <w:spacing w:after="120"/>
      </w:pPr>
      <w:r>
        <w:rPr>
          <w:b w:val="false"/>
          <w:bCs w:val="false"/>
        </w:rPr>
        <w:t xml:space="preserve">Every payment is </w:t>
      </w:r>
      <w:r>
        <w:rPr>
          <w:b/>
          <w:bCs/>
        </w:rPr>
        <w:t xml:space="preserve">two operator money-moves added together</w:t>
      </w:r>
      <w:r>
        <w:rPr>
          <w:b w:val="false"/>
          <w:bCs w:val="false"/>
        </w:rPr>
        <w:t xml:space="preserve">: pawaPay </w:t>
      </w:r>
      <w:r>
        <w:rPr>
          <w:b/>
          <w:bCs/>
        </w:rPr>
        <w:t xml:space="preserve">collects</w:t>
      </w:r>
      <w:r>
        <w:rPr>
          <w:b w:val="false"/>
          <w:bCs w:val="false"/>
        </w:rPr>
        <w:t xml:space="preserve"> from the customer’s wallet (a fee on the payer’s network) and </w:t>
      </w:r>
      <w:r>
        <w:rPr>
          <w:b/>
          <w:bCs/>
        </w:rPr>
        <w:t xml:space="preserve">pays out</w:t>
      </w:r>
      <w:r>
        <w:rPr>
          <w:b w:val="false"/>
          <w:bCs w:val="false"/>
        </w:rPr>
        <w:t xml:space="preserve"> to the merchant’s wallet (a fee on the merchant’s network). The cut is the sum of those two per-leg fees — plus a flat per-dial fee on the USSD channel (app/QR adds nothing). It is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an interoperability or “bridging” charge: both legs happen on every payment, whether or not the two networks differ. Currency is not in the picture.</w:t>
      </w:r>
    </w:p>
    <w:p>
      <w:pPr>
        <w:pStyle w:val="Heading3"/>
      </w:pPr>
      <w:r>
        <w:t xml:space="preserve">A.  Round-trip percentage, by network pair</w:t>
      </w:r>
    </w:p>
    <w:p>
      <w:pPr>
        <w:spacing w:after="120"/>
      </w:pPr>
      <w:r>
        <w:rPr>
          <w:b w:val="false"/>
          <w:bCs w:val="false"/>
        </w:rPr>
        <w:t xml:space="preserve">Read down for the payer’s network (its collection rate), across for the merchant’s (its settlement rate); each cell is the two added together. This is the cut on the app/QR channel (no per-dial fee).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c>
          <w:tcPr>
            <w:tcW w:type="dxa" w:w="27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Payer ↓  /  Merchant →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Vodacom M-Pesa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Airtel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Orange</w:t>
            </w:r>
          </w:p>
        </w:tc>
      </w:tr>
      <w:tr>
        <w:tc>
          <w:tcPr>
            <w:tcW w:type="dxa" w:w="27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5F2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Vodacom M-Pesa</w:t>
            </w: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4.5%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4.5%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3.5%</w:t>
            </w: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7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5F2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Airtel</w:t>
            </w: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5.0%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5.0%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4.0%</w:t>
            </w:r>
          </w:p>
        </w:tc>
      </w:tr>
      <w:tr>
        <w:tc>
          <w:tcPr>
            <w:tcW w:type="dxa" w:w="27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5F2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Orange</w:t>
            </w: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5.0%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5.0%</w:t>
            </w:r>
          </w:p>
        </w:tc>
        <w:tc>
          <w:tcPr>
            <w:tcW w:type="dxa" w:w="22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4.0%</w:t>
            </w:r>
          </w:p>
        </w:tc>
      </w:tr>
    </w:tbl>
    <w:p>
      <w:pPr>
        <w:spacing w:after="1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The diagonal is not free.</w:t>
      </w:r>
      <w:r>
        <w:rPr>
          <w:b w:val="false"/>
          <w:bCs w:val="false"/>
        </w:rPr>
        <w:t xml:space="preserve"> A same-network payment still pays both legs — the money is pulled out of one wallet (collection) and pushed into another (payout) — so Vodacom → Vodacom is 2.5% + 2.0% = 4.5%, not 0. And </w:t>
      </w:r>
      <w:r>
        <w:rPr>
          <w:b/>
          <w:bCs/>
        </w:rPr>
        <w:t xml:space="preserve">crossing networks adds no surcharge</w:t>
      </w:r>
      <w:r>
        <w:rPr>
          <w:b w:val="false"/>
          <w:bCs w:val="false"/>
        </w:rPr>
        <w:t xml:space="preserve">: some cross-network pairs are actually *cheaper* than staying on-net — Vodacom → Orange is </w:t>
      </w:r>
      <w:r>
        <w:rPr>
          <w:b/>
          <w:bCs/>
        </w:rPr>
        <w:t xml:space="preserve">3.5%</w:t>
      </w:r>
      <w:r>
        <w:rPr>
          <w:b w:val="false"/>
          <w:bCs w:val="false"/>
        </w:rPr>
        <w:t xml:space="preserve">, below Vodacom → Vodacom at </w:t>
      </w:r>
      <w:r>
        <w:rPr>
          <w:b/>
          <w:bCs/>
        </w:rPr>
        <w:t xml:space="preserve">4.5%</w:t>
      </w:r>
      <w:r>
        <w:rPr>
          <w:b w:val="false"/>
          <w:bCs w:val="false"/>
        </w:rPr>
        <w:t xml:space="preserve">, because Orange’s payout leg is the cheapest. The rate depends only on which two per-leg fees apply, never on whether the networks match. (The column follows the merchant’s payout rate — Orange cheapest at 1.0%; the row follows the payer’s collection rate — Vodacom cheapest at 2.5%.)</w:t>
      </w:r>
    </w:p>
    <w:p>
      <w:pPr>
        <w:pStyle w:val="Heading3"/>
      </w:pPr>
      <w:r>
        <w:t xml:space="preserve">B.  The dollar cut, by ticket size and channel</w:t>
      </w:r>
    </w:p>
    <w:p>
      <w:pPr>
        <w:spacing w:after="120"/>
      </w:pPr>
      <w:r>
        <w:rPr>
          <w:b w:val="false"/>
          <w:bCs w:val="false"/>
        </w:rPr>
        <w:t xml:space="preserve">The percentage is fixed per pair; the flat USSD dial makes small tickets proportionally worse.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700"/>
        <w:gridCol w:w="2700"/>
        <w:gridCol w:w="2400"/>
      </w:tblGrid>
      <w:tr>
        <w:tc>
          <w:tcPr>
            <w:tcW w:type="dxa" w:w="15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Ticket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Cheapest pair 3.5% (app/QR)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Priciest pair 5.0% (app/QR)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USSD dial add-on</w:t>
            </w:r>
          </w:p>
        </w:tc>
      </w:tr>
      <w:tr>
        <w:tc>
          <w:tcPr>
            <w:tcW w:type="dxa" w:w="15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$2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$0.07  (3.5%)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$0.10  (5.0%)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+$0.034  (+1.7%)</w:t>
            </w:r>
          </w:p>
        </w:tc>
      </w:tr>
      <w:tr>
        <w:tc>
          <w:tcPr>
            <w:tcW w:type="dxa" w:w="15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$5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$0.18  (3.5%)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$0.25  (5.0%)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+$0.034  (+0.68%)</w:t>
            </w:r>
          </w:p>
        </w:tc>
      </w:tr>
      <w:tr>
        <w:tc>
          <w:tcPr>
            <w:tcW w:type="dxa" w:w="15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$10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$0.35  (3.5%)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$0.50  (5.0%)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+$0.034  (+0.34%)</w:t>
            </w:r>
          </w:p>
        </w:tc>
      </w:tr>
      <w:tr>
        <w:tc>
          <w:tcPr>
            <w:tcW w:type="dxa" w:w="15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$20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$0.70  (3.5%)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$1.00  (5.0%)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+$0.034  (+0.17%)</w:t>
            </w:r>
          </w:p>
        </w:tc>
      </w:tr>
      <w:tr>
        <w:tc>
          <w:tcPr>
            <w:tcW w:type="dxa" w:w="15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$50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$1.75  (3.5%)</w:t>
            </w:r>
          </w:p>
        </w:tc>
        <w:tc>
          <w:tcPr>
            <w:tcW w:type="dxa" w:w="27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$2.50  (5.0%)</w:t>
            </w:r>
          </w:p>
        </w:tc>
        <w:tc>
          <w:tcPr>
            <w:tcW w:type="dxa" w:w="24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>+$0.034  (+0.07%)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How to read it.</w:t>
      </w:r>
      <w:r>
        <w:rPr>
          <w:b w:val="false"/>
          <w:bCs w:val="false"/>
        </w:rPr>
        <w:t xml:space="preserve"> Total cut = (round-trip % × ticket) + ($0.034 if paid by USSD). </w:t>
      </w:r>
      <w:r>
        <w:rPr>
          <w:b/>
          <w:bCs/>
        </w:rPr>
        <w:t xml:space="preserve">Worked example:</w:t>
      </w:r>
      <w:r>
        <w:rPr>
          <w:b w:val="false"/>
          <w:bCs w:val="false"/>
        </w:rPr>
        <w:t xml:space="preserve"> a $10 sale, customer on Airtel paying a merchant on Vodacom (5.0%), via USSD → $0.50 + $0.034 = </w:t>
      </w:r>
      <w:r>
        <w:rPr>
          <w:b/>
          <w:bCs/>
        </w:rPr>
        <w:t xml:space="preserve">$0.534, i.e. 5.34% of the charge</w:t>
      </w:r>
      <w:r>
        <w:rPr>
          <w:b w:val="false"/>
          <w:bCs w:val="false"/>
        </w:rPr>
        <w:t xml:space="preserve">. The merchant nets $9.466 today (we add no margin). On app/QR the same sale costs $0.50 (5.0%) flat.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The refund case.</w:t>
      </w:r>
      <w:r>
        <w:rPr>
          <w:b w:val="false"/>
          <w:bCs w:val="false"/>
        </w:rPr>
        <w:t xml:space="preserve"> If the payout fails after the customer was already collected, the customer is refunded in full — but pawaPay’s collection fee (2.5–3.0%) is still taken and not returned, so that transaction’s cut is a </w:t>
      </w:r>
      <w:r>
        <w:rPr>
          <w:b/>
          <w:bCs/>
        </w:rPr>
        <w:t xml:space="preserve">pure loss</w:t>
      </w:r>
      <w:r>
        <w:rPr>
          <w:b w:val="false"/>
          <w:bCs w:val="false"/>
        </w:rPr>
        <w:t xml:space="preserve"> with nothing settled. (The collection fee being non-refundable is the assumption; pending vendor confirmation.)</w:t>
      </w:r>
    </w:p>
    <w:p>
      <w:pPr>
        <w:spacing w:after="1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This is the cost, not the price.</w:t>
      </w:r>
      <w:r>
        <w:rPr>
          <w:b w:val="false"/>
          <w:bCs w:val="false"/>
        </w:rPr>
        <w:t xml:space="preserve"> Everything above is what the rails take (the cut). What the merchant ultimately pays (the MDR) = this cost </w:t>
      </w:r>
      <w:r>
        <w:rPr>
          <w:b/>
          <w:bCs/>
        </w:rPr>
        <w:t xml:space="preserve">+ whatever margin we add</w:t>
      </w:r>
      <w:r>
        <w:rPr>
          <w:b w:val="false"/>
          <w:bCs w:val="false"/>
        </w:rPr>
        <w:t xml:space="preserve">. Today we add none (pass-through): the cost is booked to expense, the margin to revenue, and revenue is $0. Setting the MDR above cost is the pricing decision (§4, lever 1).</w:t>
      </w:r>
    </w:p>
    <w:p>
      <w:pPr>
        <w:pStyle w:val="Heading2"/>
      </w:pPr>
      <w:r>
        <w:t xml:space="preserve">4.  The plan to scale and widen margin</w:t>
      </w:r>
    </w:p>
    <w:p>
      <w:pPr>
        <w:spacing w:after="120"/>
      </w:pPr>
      <w:r>
        <w:rPr>
          <w:b w:val="false"/>
          <w:bCs w:val="false"/>
        </w:rPr>
        <w:t xml:space="preserve">Four stacked levers, sequenced by the leverage that scale gives 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2300"/>
        <w:gridCol w:w="3460"/>
      </w:tblGrid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Lever</w:t>
            </w:r>
          </w:p>
        </w:tc>
        <w:tc>
          <w:tcPr>
            <w:tcW w:type="dxa" w:w="1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Effect</w:t>
            </w:r>
          </w:p>
        </w:tc>
        <w:tc>
          <w:tcPr>
            <w:tcW w:type="dxa" w:w="34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A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Notes / difficulty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1. Price above cost</w:t>
            </w: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Now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Makes each transaction profitable (thin)</w:t>
            </w:r>
          </w:p>
        </w:tc>
        <w:tc>
          <w:tcPr>
            <w:tcW w:type="dxa" w:w="34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Today we pass cost through with no margin; set the merchant fee above the all-in cost (~5–7%). No renegotiation needed. Constraint = merchant willingness.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2. Squeeze the aggregator’s wholesale rate</w:t>
            </w: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Mid-scale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Lowers the operator-derived rate without going direct</w:t>
            </w:r>
          </w:p>
        </w:tc>
        <w:tc>
          <w:tcPr>
            <w:tcW w:type="dxa" w:w="34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Ride pawaPay’s volume early (cheaper than going direct as a small player); negotiate a better tier as a big customer. Low friction.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3. Negotiate operators directly / build own rails</w:t>
            </w: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Large scale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Cuts middleman markups (~1–2%); pushes the operators’ cut down</w:t>
            </w:r>
          </w:p>
        </w:tc>
        <w:tc>
          <w:tcPr>
            <w:tcW w:type="dxa" w:w="34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Heavy: per-operator contracts, an e-money license (~$2.5M min capital), 6–18 months, ~$100–180k build. A floor remains — operators keep pricing power.</w:t>
            </w:r>
          </w:p>
        </w:tc>
      </w:tr>
      <w:tr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4. Monetise the merchant base (the real engine)</w:t>
            </w: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After traction</w:t>
            </w:r>
          </w:p>
        </w:tc>
        <w:tc>
          <w:tcPr>
            <w:tcW w:type="dxa" w:w="230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High-margin revenue on top of payments</w:t>
            </w:r>
          </w:p>
        </w:tc>
        <w:tc>
          <w:tcPr>
            <w:tcW w:type="dxa" w:w="346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Lending / working capital from sales data; value-added services. Payments are the hook; lending is the profit. Bigger build, partner bank, own capital + licensing.</w:t>
            </w:r>
          </w:p>
        </w:tc>
      </w:tr>
    </w:tbl>
    <w:p>
      <w:pPr>
        <w:spacing w:after="160"/>
      </w:pPr>
      <w:r>
        <w:rPr>
          <w:b w:val="false"/>
          <w:bCs w:val="false"/>
        </w:rPr>
        <w:t xml:space="preserve">Payment processing is close to break-even by design. The asset we are building is the base of merchants and the record of their sales. Widening the rail margin (levers 2–3) helps, but the order-of-magnitude opportunity is the lending layer (lever 4) — which is why getting merchants live and observing their volumes matters more than shaving the rails.</w:t>
      </w:r>
    </w:p>
    <w:p>
      <w:pPr>
        <w:pStyle w:val="Heading2"/>
      </w:pPr>
      <w:r>
        <w:t xml:space="preserve">5.  Constraints and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Asymmetric leverage.</w:t>
      </w:r>
      <w:r>
        <w:rPr>
          <w:b w:val="false"/>
          <w:bCs w:val="false"/>
        </w:rPr>
        <w:t xml:space="preserve"> The operators own the wallets and the customers; we depend on them, not the reverse. At 40 merchants we have little pull.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Material volume needed.</w:t>
      </w:r>
      <w:r>
        <w:rPr>
          <w:b w:val="false"/>
          <w:bCs w:val="false"/>
        </w:rPr>
        <w:t xml:space="preserve"> A discount only comes when our volume matters to a telco — a chicken-and-egg, since we need scale to earn the rate that helps us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 floor on the operators’ cut.</w:t>
      </w:r>
      <w:r>
        <w:rPr>
          <w:b w:val="false"/>
          <w:bCs w:val="false"/>
        </w:rPr>
        <w:t xml:space="preserve"> They will discount but never to near-zero; you cannot move M-Pesa money without M-Pesa being paid.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Operators are also competitors.</w:t>
      </w:r>
      <w:r>
        <w:rPr>
          <w:b w:val="false"/>
          <w:bCs w:val="false"/>
        </w:rPr>
        <w:t xml:space="preserve"> Vodacom / Orange / Airtel run their own merchant tills, so they may resist giving a generous rate to a competing layer built on top of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Direct / own rails is heavy.</w:t>
      </w:r>
      <w:r>
        <w:rPr>
          <w:b w:val="false"/>
          <w:bCs w:val="false"/>
        </w:rPr>
        <w:t xml:space="preserve"> Capital- and licence-intensive, and it still pays the operators their cut.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USSD figures unconfirmed.</w:t>
      </w:r>
      <w:r>
        <w:rPr>
          <w:b w:val="false"/>
          <w:bCs w:val="false"/>
        </w:rPr>
        <w:t xml:space="preserve"> The dialing-code numbers are a third-party reseller estimate; confirm directly with Africa’s Talking / Infobip (a sign-up-and-ask step — a team action).</w:t>
      </w:r>
    </w:p>
    <w:p>
      <w:pPr>
        <w:pStyle w:val="Heading2"/>
      </w:pPr>
      <w:r>
        <w:t xml:space="preserve">6.  Confidence and sources</w:t>
      </w:r>
    </w:p>
    <w:p>
      <w:pPr>
        <w:pStyle w:val="Heading3"/>
      </w:pPr>
      <w:r>
        <w:t xml:space="preserve">How solid the figures 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pawaPay per-leg rates &amp; the 3.5–5% envelope — Medium-High.</w:t>
      </w:r>
      <w:r>
        <w:rPr>
          <w:b w:val="false"/>
          <w:bCs w:val="false"/>
        </w:rPr>
        <w:t xml:space="preserve"> pawaPay publishes these (the only DRC aggregator with public pricing).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USSD setup / monthly / per-dial — Medium.</w:t>
      </w:r>
      <w:r>
        <w:rPr>
          <w:b w:val="false"/>
          <w:bCs w:val="false"/>
        </w:rPr>
        <w:t xml:space="preserve"> A secondary reseller figure; Africa’s Talking’s DRC coverage itself is confirmed (primary).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Own-build cost (~$100–180k), e-money capital (~$2.5M), 6–18 months — Medium.</w:t>
      </w:r>
      <w:r>
        <w:rPr>
          <w:b w:val="false"/>
          <w:bCs w:val="false"/>
        </w:rPr>
        <w:t xml:space="preserve"> From the build-vs-rent research.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Lending as the margin engine — Medium.</w:t>
      </w:r>
      <w:r>
        <w:rPr>
          <w:b w:val="false"/>
          <w:bCs w:val="false"/>
        </w:rPr>
        <w:t xml:space="preserve"> A pattern across comparable fintechs (M-Pesa, Wave, OPay, and others).</w:t>
      </w:r>
    </w:p>
    <w:p>
      <w:pPr>
        <w:pStyle w:val="Heading3"/>
      </w:pPr>
      <w:r>
        <w:t xml:space="preserve">Where these come from (research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02-findings/cross-cutting/fees-and-costs.md — pawaPay per-leg rates (source IDs pp-003, pp-004).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02-findings/cross-cutting/ussd-gateway-providers.md — USSD providers + DRC costs.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02-findings/cross-cutting/own-aggregator.md — build-vs-rent, e-money licensing, direct-integration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03-reports/comparables-synthesis.md — the monetisation ladder (payments → merchant → lending).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drc-pay/docs/adr/0005 (merchant absorbs the MDR), 0006 (USSD/QR channel), 0007 (pawaPay cost booked as expense) — the in-code decisions.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Action to confirm:</w:t>
      </w:r>
      <w:r>
        <w:rPr>
          <w:b w:val="false"/>
          <w:bCs w:val="false"/>
        </w:rPr>
        <w:t xml:space="preserve"> get a direct DRC rate card from Africa’s Talking / Infobip (USSD) and, at scale, a wholesale quote from pawaPay — both team actions (sign-up required).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E2553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2026-06-19T06:38:05.663Z</dcterms:created>
  <dcterms:modified xsi:type="dcterms:W3CDTF">2026-06-19T06:38:05.667Z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