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2E74B5"/>
          <w:sz w:val="20"/>
        </w:rPr>
        <w:t>BÁO CÁO KIỂM ĐỊNH DỮ LIỆU</w:t>
      </w:r>
    </w:p>
    <w:p>
      <w:pPr>
        <w:spacing w:after="120"/>
      </w:pPr>
      <w:r>
        <w:rPr>
          <w:rFonts w:ascii="Calibri" w:hAnsi="Calibri"/>
          <w:b/>
          <w:i w:val="0"/>
          <w:color w:val="17365D"/>
          <w:sz w:val="50"/>
        </w:rPr>
        <w:t>CustomTools-VI v1</w:t>
      </w:r>
    </w:p>
    <w:p>
      <w:pPr>
        <w:spacing w:after="280"/>
      </w:pPr>
      <w:r>
        <w:rPr>
          <w:rFonts w:ascii="Calibri" w:hAnsi="Calibri"/>
          <w:i w:val="0"/>
          <w:color w:val="666666"/>
          <w:sz w:val="27"/>
        </w:rPr>
        <w:t>Thống kê, kiểm định độc lập và giới hạn sau review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2160"/>
        <w:gridCol w:w="7200"/>
      </w:tblGrid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>Kết luận review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Đạt kiểm định tự động: 8.000/8.000 bản ghi hợp lệ, không có lỗi audit cuối và manifest toàn vẹn.</w:t>
            </w:r>
          </w:p>
        </w:tc>
      </w:tr>
    </w:tbl>
    <w:p>
      <w:pPr>
        <w:spacing w:after="0"/>
      </w:pPr>
    </w:p>
    <w:p>
      <w:r>
        <w:rPr>
          <w:rFonts w:ascii="Calibri" w:hAnsi="Calibri"/>
          <w:i w:val="0"/>
          <w:color w:val="000000"/>
          <w:sz w:val="22"/>
        </w:rPr>
        <w:t>Phạm vi tài liệu: tổng hợp trực tiếp từ qa_report.json, independent_audit.json và generation_manifest.json của release v1.0.0; số liệu tính đến ngày 12/08/2026.</w:t>
      </w:r>
    </w:p>
    <w:p>
      <w:pPr>
        <w:pStyle w:val="Heading1"/>
        <w:keepNext/>
      </w:pPr>
      <w:r>
        <w:t>1. Quy mô tổng thể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5600"/>
        <w:gridCol w:w="3760"/>
      </w:tblGrid>
      <w:tr>
        <w:trPr>
          <w:tblHeader w:val="true"/>
        </w:trPr>
        <w:tc>
          <w:tcPr>
            <w:tcW w:type="dxa" w:w="5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Chỉ số</w:t>
            </w:r>
          </w:p>
        </w:tc>
        <w:tc>
          <w:tcPr>
            <w:tcW w:type="dxa" w:w="3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Kết quả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Tổng số mẫu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8.000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Tổng số tool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40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Số domain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Candidate tools trên mỗi mẫu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Positive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4.800 (60%)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Negative / no-call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3.200 (40%)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Tổng số function call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5.520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Mẫu single-call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4.080 (51% toàn bộ dữ liệu)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Mẫu hai lời gọi song song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720 (9% toàn bộ dữ liệu)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Multi-call trong tập positive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15%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t>2. Phân chia dữ liệu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 w:val="true"/>
        </w:trPr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Split</w:t>
            </w:r>
          </w:p>
        </w:tc>
        <w:tc>
          <w:tcPr>
            <w:tcW w:type="dxa" w:w="17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Positive</w:t>
            </w:r>
          </w:p>
        </w:tc>
        <w:tc>
          <w:tcPr>
            <w:tcW w:type="dxa" w:w="17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Negative</w:t>
            </w:r>
          </w:p>
        </w:tc>
        <w:tc>
          <w:tcPr>
            <w:tcW w:type="dxa" w:w="17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Tổng</w:t>
            </w:r>
          </w:p>
        </w:tc>
        <w:tc>
          <w:tcPr>
            <w:tcW w:type="dxa" w:w="17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Tỷ lệ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train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3.600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2.000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5.600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70%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val_seen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200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200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400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5%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val_unseen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200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200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400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5%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test_seen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400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400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800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10%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test_unseen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400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400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800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10%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Tổng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4.800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3.200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8.000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100%</w:t>
            </w:r>
          </w:p>
        </w:tc>
      </w:tr>
    </w:tbl>
    <w:p>
      <w:pPr>
        <w:spacing w:before="0" w:after="40"/>
      </w:pPr>
    </w:p>
    <w:p>
      <w:r>
        <w:rPr>
          <w:rFonts w:ascii="Calibri" w:hAnsi="Calibri"/>
          <w:i w:val="0"/>
          <w:color w:val="000000"/>
          <w:sz w:val="22"/>
        </w:rPr>
        <w:t>Gộp theo mục đích: train 5.600 mẫu (70%), validation 800 mẫu (10%) và test 1.600 mẫu (20%). Hai nhánh seen và unseen của validation + test đều có 1.200 mẫu.</w:t>
      </w:r>
    </w:p>
    <w:p>
      <w:pPr>
        <w:pStyle w:val="Heading1"/>
        <w:keepNext/>
      </w:pPr>
      <w:r>
        <w:t>3. Phân bố domain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5700"/>
        <w:gridCol w:w="1830"/>
        <w:gridCol w:w="1830"/>
      </w:tblGrid>
      <w:tr>
        <w:trPr>
          <w:tblHeader w:val="true"/>
        </w:trPr>
        <w:tc>
          <w:tcPr>
            <w:tcW w:type="dxa" w:w="5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Domain</w:t>
            </w:r>
          </w:p>
        </w:tc>
        <w:tc>
          <w:tcPr>
            <w:tcW w:type="dxa" w:w="18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Số mẫu</w:t>
            </w:r>
          </w:p>
        </w:tc>
        <w:tc>
          <w:tcPr>
            <w:tcW w:type="dxa" w:w="18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Tỷ lệ</w:t>
            </w:r>
          </w:p>
        </w:tc>
      </w:tr>
      <w:tr>
        <w:trPr>
          <w:cantSplit/>
        </w:trP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Ẩm thực &amp; Đặc sản</w:t>
            </w:r>
          </w:p>
        </w:tc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800</w:t>
            </w:r>
          </w:p>
        </w:tc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10%</w:t>
            </w:r>
          </w:p>
        </w:tc>
      </w:tr>
      <w:tr>
        <w:trPr>
          <w:cantSplit/>
        </w:trP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Du lịch &amp; Địa danh</w:t>
            </w:r>
          </w:p>
        </w:tc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800</w:t>
            </w:r>
          </w:p>
        </w:tc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10%</w:t>
            </w:r>
          </w:p>
        </w:tc>
      </w:tr>
      <w:tr>
        <w:trPr>
          <w:cantSplit/>
        </w:trP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Tài chính &amp; Ngân hàng</w:t>
            </w:r>
          </w:p>
        </w:tc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800</w:t>
            </w:r>
          </w:p>
        </w:tc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10%</w:t>
            </w:r>
          </w:p>
        </w:tc>
      </w:tr>
      <w:tr>
        <w:trPr>
          <w:cantSplit/>
        </w:trP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Giáo dục Việt Nam</w:t>
            </w:r>
          </w:p>
        </w:tc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800</w:t>
            </w:r>
          </w:p>
        </w:tc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10%</w:t>
            </w:r>
          </w:p>
        </w:tc>
      </w:tr>
      <w:tr>
        <w:trPr>
          <w:cantSplit/>
        </w:trP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Y tế &amp; Sức khỏe</w:t>
            </w:r>
          </w:p>
        </w:tc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800</w:t>
            </w:r>
          </w:p>
        </w:tc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10%</w:t>
            </w:r>
          </w:p>
        </w:tc>
      </w:tr>
      <w:tr>
        <w:trPr>
          <w:cantSplit/>
        </w:trP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Thương mại điện tử</w:t>
            </w:r>
          </w:p>
        </w:tc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800</w:t>
            </w:r>
          </w:p>
        </w:tc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10%</w:t>
            </w:r>
          </w:p>
        </w:tc>
      </w:tr>
      <w:tr>
        <w:trPr>
          <w:cantSplit/>
        </w:trP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Giao thông &amp; Di chuyển</w:t>
            </w:r>
          </w:p>
        </w:tc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800</w:t>
            </w:r>
          </w:p>
        </w:tc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10%</w:t>
            </w:r>
          </w:p>
        </w:tc>
      </w:tr>
      <w:tr>
        <w:trPr>
          <w:cantSplit/>
        </w:trP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Hành chính công</w:t>
            </w:r>
          </w:p>
        </w:tc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800</w:t>
            </w:r>
          </w:p>
        </w:tc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10%</w:t>
            </w:r>
          </w:p>
        </w:tc>
      </w:tr>
      <w:tr>
        <w:trPr>
          <w:cantSplit/>
        </w:trP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Giải trí &amp; Lịch</w:t>
            </w:r>
          </w:p>
        </w:tc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800</w:t>
            </w:r>
          </w:p>
        </w:tc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10%</w:t>
            </w:r>
          </w:p>
        </w:tc>
      </w:tr>
      <w:tr>
        <w:trPr>
          <w:cantSplit/>
        </w:trP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Nông nghiệp &amp; Thời tiết</w:t>
            </w:r>
          </w:p>
        </w:tc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800</w:t>
            </w:r>
          </w:p>
        </w:tc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10%</w:t>
            </w:r>
          </w:p>
        </w:tc>
      </w:tr>
    </w:tbl>
    <w:p>
      <w:pPr>
        <w:spacing w:before="0" w:after="40"/>
      </w:pPr>
    </w:p>
    <w:p>
      <w:r>
        <w:rPr>
          <w:rFonts w:ascii="Calibri" w:hAnsi="Calibri"/>
          <w:i w:val="0"/>
          <w:color w:val="000000"/>
          <w:sz w:val="22"/>
        </w:rPr>
        <w:t>Mười domain được cân bằng tuyệt đối, mỗi domain có 800 mẫu.</w:t>
      </w:r>
    </w:p>
    <w:p>
      <w:r>
        <w:br w:type="page"/>
      </w:r>
    </w:p>
    <w:p>
      <w:pPr>
        <w:pStyle w:val="Heading1"/>
        <w:keepNext/>
      </w:pPr>
      <w:r>
        <w:t>4. Phân bố phong cách câu hỏi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5700"/>
        <w:gridCol w:w="1830"/>
        <w:gridCol w:w="1830"/>
      </w:tblGrid>
      <w:tr>
        <w:trPr>
          <w:tblHeader w:val="true"/>
        </w:trPr>
        <w:tc>
          <w:tcPr>
            <w:tcW w:type="dxa" w:w="5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Phong cách</w:t>
            </w:r>
          </w:p>
        </w:tc>
        <w:tc>
          <w:tcPr>
            <w:tcW w:type="dxa" w:w="18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Số mẫu</w:t>
            </w:r>
          </w:p>
        </w:tc>
        <w:tc>
          <w:tcPr>
            <w:tcW w:type="dxa" w:w="18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Tỷ lệ</w:t>
            </w:r>
          </w:p>
        </w:tc>
      </w:tr>
      <w:tr>
        <w:trPr>
          <w:cantSplit/>
        </w:trP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Trung tính</w:t>
            </w:r>
          </w:p>
        </w:tc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2.800</w:t>
            </w:r>
          </w:p>
        </w:tc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35%</w:t>
            </w:r>
          </w:p>
        </w:tc>
      </w:tr>
      <w:tr>
        <w:trPr>
          <w:cantSplit/>
        </w:trP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Lịch sự</w:t>
            </w:r>
          </w:p>
        </w:tc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1.600</w:t>
            </w:r>
          </w:p>
        </w:tc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20%</w:t>
            </w:r>
          </w:p>
        </w:tc>
      </w:tr>
      <w:tr>
        <w:trPr>
          <w:cantSplit/>
        </w:trP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Hội thoại tự nhiên</w:t>
            </w:r>
          </w:p>
        </w:tc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1.600</w:t>
            </w:r>
          </w:p>
        </w:tc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20%</w:t>
            </w:r>
          </w:p>
        </w:tc>
      </w:tr>
      <w:tr>
        <w:trPr>
          <w:cantSplit/>
        </w:trP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Nhiễu / viết tắt</w:t>
            </w:r>
          </w:p>
        </w:tc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1.200</w:t>
            </w:r>
          </w:p>
        </w:tc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15%</w:t>
            </w:r>
          </w:p>
        </w:tc>
      </w:tr>
      <w:tr>
        <w:trPr>
          <w:cantSplit/>
        </w:trPr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Code-mixed</w:t>
            </w:r>
          </w:p>
        </w:tc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800</w:t>
            </w:r>
          </w:p>
        </w:tc>
        <w:tc>
          <w:tcPr>
            <w:tcW w:type="dxa" w:w="1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10%</w:t>
            </w:r>
          </w:p>
        </w:tc>
      </w:tr>
    </w:tbl>
    <w:p>
      <w:pPr>
        <w:spacing w:before="0" w:after="40"/>
      </w:pPr>
    </w:p>
    <w:p>
      <w:r>
        <w:rPr>
          <w:rFonts w:ascii="Calibri" w:hAnsi="Calibri"/>
          <w:i w:val="0"/>
          <w:color w:val="000000"/>
          <w:sz w:val="22"/>
        </w:rPr>
        <w:t>Có 3.686 mẫu (46,08%) được bổ sung ngữ cảnh đa dạng tự nhiên nhằm giảm gần trùng mà không thay đổi gold call.</w:t>
      </w:r>
    </w:p>
    <w:p>
      <w:pPr>
        <w:pStyle w:val="Heading1"/>
        <w:keepNext/>
      </w:pPr>
      <w:r>
        <w:t>5. Phân bố negative samples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3960"/>
        <w:gridCol w:w="1800"/>
        <w:gridCol w:w="1800"/>
        <w:gridCol w:w="1800"/>
      </w:tblGrid>
      <w:tr>
        <w:trPr>
          <w:tblHeader w:val="true"/>
        </w:trPr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Loại negative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Số mẫu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Trong negative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Toàn bộ dữ liệu</w:t>
            </w:r>
          </w:p>
        </w:tc>
      </w:tr>
      <w:tr>
        <w:trPr>
          <w:cantSplit/>
        </w:trP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Hard near-miss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1.280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40%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16%</w:t>
            </w:r>
          </w:p>
        </w:tc>
      </w:tr>
      <w:tr>
        <w:trPr>
          <w:cantSplit/>
        </w:trP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Non-action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800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25%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10%</w:t>
            </w:r>
          </w:p>
        </w:tc>
      </w:tr>
      <w:tr>
        <w:trPr>
          <w:cantSplit/>
        </w:trP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Out-of-scope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640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20%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8%</w:t>
            </w:r>
          </w:p>
        </w:tc>
      </w:tr>
      <w:tr>
        <w:trPr>
          <w:cantSplit/>
        </w:trP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Negated / hypothetical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480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15%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6%</w:t>
            </w:r>
          </w:p>
        </w:tc>
      </w:tr>
      <w:tr>
        <w:trPr>
          <w:cantSplit/>
        </w:trPr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Tổng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3.200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100%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40%</w:t>
            </w:r>
          </w:p>
        </w:tc>
      </w:tr>
    </w:tbl>
    <w:p>
      <w:pPr>
        <w:spacing w:before="0" w:after="40"/>
      </w:pPr>
    </w:p>
    <w:p>
      <w:r>
        <w:rPr>
          <w:rFonts w:ascii="Calibri" w:hAnsi="Calibri"/>
          <w:i w:val="0"/>
          <w:color w:val="000000"/>
          <w:sz w:val="22"/>
        </w:rPr>
        <w:t>Mỗi hard near-miss có tối thiểu 5 hard distractors thuộc domain chính hoặc domain liên quan.</w:t>
      </w:r>
    </w:p>
    <w:p>
      <w:pPr>
        <w:pStyle w:val="Heading1"/>
        <w:keepNext/>
      </w:pPr>
      <w:r>
        <w:t>6. Tool split và độ phủ positive call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4200"/>
        <w:gridCol w:w="1800"/>
        <w:gridCol w:w="3360"/>
      </w:tblGrid>
      <w:tr>
        <w:trPr>
          <w:tblHeader w:val="true"/>
        </w:trPr>
        <w:tc>
          <w:tcPr>
            <w:tcW w:type="dxa" w:w="4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Tool tier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Số tool</w:t>
            </w:r>
          </w:p>
        </w:tc>
        <w:tc>
          <w:tcPr>
            <w:tcW w:type="dxa" w:w="3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Positive calls trên mỗi tool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Seen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20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241-242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Dev-unseen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23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Test-unseen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46</w:t>
            </w:r>
          </w:p>
        </w:tc>
      </w:tr>
    </w:tbl>
    <w:p>
      <w:pPr>
        <w:spacing w:before="0" w:after="40"/>
      </w:pPr>
    </w:p>
    <w:p>
      <w:r>
        <w:rPr>
          <w:rFonts w:ascii="Calibri" w:hAnsi="Calibri"/>
          <w:i w:val="0"/>
          <w:color w:val="000000"/>
          <w:sz w:val="22"/>
        </w:rPr>
        <w:t>Độ phủ được cân bằng trong từng tier, với chênh lệch tối đa một call đối với nhóm seen.</w:t>
      </w:r>
    </w:p>
    <w:p>
      <w:r>
        <w:rPr>
          <w:rFonts w:ascii="Calibri" w:hAnsi="Calibri"/>
          <w:i w:val="0"/>
          <w:color w:val="000000"/>
          <w:sz w:val="22"/>
        </w:rPr>
        <w:t>Lưu ý thiết kế: tool unseen có ít hơn 100 positive vì chỉ xuất hiện trong split đánh giá tương ứng. Đây là chủ ý để bảo đảm schema unseen không lọt vào train; vì vậy, tiêu chí “100+ positive cho cả 40 tool” không tương thích đồng thời với thiết kế zero-shot unseen và quy mô 8.000 mẫu hiện tại.</w:t>
      </w:r>
    </w:p>
    <w:p>
      <w:r>
        <w:br w:type="page"/>
      </w:r>
    </w:p>
    <w:p>
      <w:pPr>
        <w:pStyle w:val="Heading1"/>
        <w:keepNext/>
      </w:pPr>
      <w:r>
        <w:t>7. Phân bố kiểu tham số</w:t>
      </w:r>
    </w:p>
    <w:p>
      <w:r>
        <w:rPr>
          <w:rFonts w:ascii="Calibri" w:hAnsi="Calibri"/>
          <w:i w:val="0"/>
          <w:color w:val="000000"/>
          <w:sz w:val="22"/>
        </w:rPr>
        <w:t>Tổng cộng 40 schema chứa 144 định nghĩa tham số. Enum là tập con của string và được báo cáo riêng theo vai trò mô hình hóa.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5000"/>
        <w:gridCol w:w="1800"/>
        <w:gridCol w:w="2560"/>
      </w:tblGrid>
      <w:tr>
        <w:trPr>
          <w:tblHeader w:val="true"/>
        </w:trPr>
        <w:tc>
          <w:tcPr>
            <w:tcW w:type="dxa" w:w="5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Kiểu tham số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Số lượng</w:t>
            </w:r>
          </w:p>
        </w:tc>
        <w:tc>
          <w:tcPr>
            <w:tcW w:type="dxa" w:w="2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Tỷ lệ trên 144</w:t>
            </w:r>
          </w:p>
        </w:tc>
      </w:tr>
      <w:tr>
        <w:trPr>
          <w:cantSplit/>
        </w:trP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String không enum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64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44,44%</w:t>
            </w:r>
          </w:p>
        </w:tc>
      </w:tr>
      <w:tr>
        <w:trPr>
          <w:cantSplit/>
        </w:trP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Integer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31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21,53%</w:t>
            </w:r>
          </w:p>
        </w:tc>
      </w:tr>
      <w:tr>
        <w:trPr>
          <w:cantSplit/>
        </w:trP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Number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4,17%</w:t>
            </w:r>
          </w:p>
        </w:tc>
      </w:tr>
      <w:tr>
        <w:trPr>
          <w:cantSplit/>
        </w:trP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Integer + Number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37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25,69%</w:t>
            </w:r>
          </w:p>
        </w:tc>
      </w:tr>
      <w:tr>
        <w:trPr>
          <w:cantSplit/>
        </w:trP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Enum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28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19,44%</w:t>
            </w:r>
          </w:p>
        </w:tc>
      </w:tr>
      <w:tr>
        <w:trPr>
          <w:cantSplit/>
        </w:trP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Boolean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15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10,42%</w:t>
            </w:r>
          </w:p>
        </w:tc>
      </w:tr>
    </w:tbl>
    <w:p>
      <w:pPr>
        <w:spacing w:before="0" w:after="40"/>
      </w:pPr>
    </w:p>
    <w:p>
      <w:r>
        <w:rPr>
          <w:rFonts w:ascii="Calibri" w:hAnsi="Calibri"/>
          <w:i w:val="0"/>
          <w:color w:val="000000"/>
          <w:sz w:val="22"/>
        </w:rPr>
        <w:t>Tỷ lệ optional parameter vắng mặt trong positive calls là 46,63%, nằm trong mục tiêu 35-50%.</w:t>
      </w:r>
    </w:p>
    <w:p>
      <w:r>
        <w:br w:type="page"/>
      </w:r>
    </w:p>
    <w:p>
      <w:pPr>
        <w:pStyle w:val="Heading1"/>
        <w:keepNext/>
      </w:pPr>
      <w:r>
        <w:t>8. Kết quả kiểm định sau sửa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6500"/>
        <w:gridCol w:w="2860"/>
      </w:tblGrid>
      <w:tr>
        <w:trPr>
          <w:tblHeader w:val="true"/>
        </w:trPr>
        <w:tc>
          <w:tcPr>
            <w:tcW w:type="dxa" w:w="6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Kiểm tra</w:t>
            </w:r>
          </w:p>
        </w:tc>
        <w:tc>
          <w:tcPr>
            <w:tcW w:type="dxa" w:w="2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Kết quả</w:t>
            </w:r>
          </w:p>
        </w:tc>
      </w:tr>
      <w:tr>
        <w:trPr>
          <w:cantSplit/>
        </w:trP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Record vượt validator trong generator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8.000/8.000</w:t>
            </w:r>
          </w:p>
        </w:tc>
      </w:tr>
      <w:tr>
        <w:trPr>
          <w:cantSplit/>
        </w:trP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Record vượt auditor độc lập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8.000/8.000</w:t>
            </w:r>
          </w:p>
        </w:tc>
      </w:tr>
      <w:tr>
        <w:trPr>
          <w:cantSplit/>
        </w:trP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Argument mentions được kiểm tra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16.364</w:t>
            </w:r>
          </w:p>
        </w:tc>
      </w:tr>
      <w:tr>
        <w:trPr>
          <w:cantSplit/>
        </w:trP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Boolean mentions được kiểm tra ngữ nghĩa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1.094</w:t>
            </w:r>
          </w:p>
        </w:tc>
      </w:tr>
      <w:tr>
        <w:trPr>
          <w:cantSplit/>
        </w:trP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Surface lặp nhưng vẫn có offset chính xác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115</w:t>
            </w:r>
          </w:p>
        </w:tc>
      </w:tr>
      <w:tr>
        <w:trPr>
          <w:cantSplit/>
        </w:trP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Argument reconstruction thành công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8.000/8.000</w:t>
            </w:r>
          </w:p>
        </w:tc>
      </w:tr>
      <w:tr>
        <w:trPr>
          <w:cantSplit/>
        </w:trP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Duplicate ID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Normalized duplicate query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Cặp lexical Jaccard &gt;= 0,90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Cặp lexical gần trùng xuyên split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Scenario-family leakage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Lỗi tiếng Việt theo pattern đã biết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Lỗi audit cuối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Manifest integrity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Đạt</w:t>
            </w:r>
          </w:p>
        </w:tc>
      </w:tr>
      <w:tr>
        <w:trPr>
          <w:cantSplit/>
        </w:trP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Test suite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95/95 đạt</w:t>
            </w:r>
          </w:p>
        </w:tc>
      </w:tr>
      <w:tr>
        <w:trPr>
          <w:cantSplit/>
        </w:trP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Ruff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Đạt</w:t>
            </w:r>
          </w:p>
        </w:tc>
      </w:tr>
      <w:tr>
        <w:trPr>
          <w:cantSplit/>
        </w:trP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Mypy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Đạt</w:t>
            </w:r>
          </w:p>
        </w:tc>
      </w:tr>
      <w:tr>
        <w:trPr>
          <w:cantSplit/>
        </w:trPr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Tái lập byte-level cùng seed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Đạt</w:t>
            </w:r>
          </w:p>
        </w:tc>
      </w:tr>
    </w:tbl>
    <w:p>
      <w:pPr>
        <w:spacing w:before="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2160"/>
        <w:gridCol w:w="7200"/>
      </w:tblGrid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7365D"/>
                <w:sz w:val="21"/>
              </w:rPr>
              <w:t>Manifest SHA-256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8E9C2840C3278660D271E944DDA7DE8F7DB2FA14D8D7FC60B19B92C4E91CF3C8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9. Giới hạn còn lại</w:t>
      </w:r>
    </w:p>
    <w:p>
      <w:r>
        <w:rPr>
          <w:rFonts w:ascii="Calibri" w:hAnsi="Calibri"/>
          <w:b/>
          <w:i w:val="0"/>
          <w:color w:val="17365D"/>
          <w:sz w:val="22"/>
        </w:rPr>
        <w:t>Human validation.</w:t>
      </w:r>
      <w:r>
        <w:rPr>
          <w:rFonts w:ascii="Calibri" w:hAnsi="Calibri"/>
          <w:i w:val="0"/>
          <w:color w:val="000000"/>
          <w:sz w:val="22"/>
        </w:rPr>
        <w:t xml:space="preserve"> Chưa có đánh giá thủ công hoặc inter-annotator agreement.</w:t>
      </w:r>
    </w:p>
    <w:p>
      <w:r>
        <w:rPr>
          <w:rFonts w:ascii="Calibri" w:hAnsi="Calibri"/>
          <w:b/>
          <w:i w:val="0"/>
          <w:color w:val="17365D"/>
          <w:sz w:val="22"/>
        </w:rPr>
        <w:t>Thực thi ngoài đời.</w:t>
      </w:r>
      <w:r>
        <w:rPr>
          <w:rFonts w:ascii="Calibri" w:hAnsi="Calibri"/>
          <w:i w:val="0"/>
          <w:color w:val="000000"/>
          <w:sz w:val="22"/>
        </w:rPr>
        <w:t xml:space="preserve"> Chưa gọi API thật để kiểm tra kết quả tool trong môi trường vận hành.</w:t>
      </w:r>
    </w:p>
    <w:p>
      <w:r>
        <w:rPr>
          <w:rFonts w:ascii="Calibri" w:hAnsi="Calibri"/>
          <w:b/>
          <w:i w:val="0"/>
          <w:color w:val="17365D"/>
          <w:sz w:val="22"/>
        </w:rPr>
        <w:t>Semantic deduplication.</w:t>
      </w:r>
      <w:r>
        <w:rPr>
          <w:rFonts w:ascii="Calibri" w:hAnsi="Calibri"/>
          <w:i w:val="0"/>
          <w:color w:val="000000"/>
          <w:sz w:val="22"/>
        </w:rPr>
        <w:t xml:space="preserve"> Chưa chạy BGE-M3 embedding dedup do môi trường hiện tại không có model weights.</w:t>
      </w:r>
    </w:p>
    <w:p>
      <w:r>
        <w:rPr>
          <w:rFonts w:ascii="Calibri" w:hAnsi="Calibri"/>
          <w:b/>
          <w:i w:val="0"/>
          <w:color w:val="17365D"/>
          <w:sz w:val="22"/>
        </w:rPr>
        <w:t>Phạm vi near-duplicate.</w:t>
      </w:r>
      <w:r>
        <w:rPr>
          <w:rFonts w:ascii="Calibri" w:hAnsi="Calibri"/>
          <w:i w:val="0"/>
          <w:color w:val="000000"/>
          <w:sz w:val="22"/>
        </w:rPr>
        <w:t xml:space="preserve"> Kết quả 0 near-duplicate áp dụng cho exact/normalized dedup và exhaustive word-set Jaccard ở ngưỡng 0,90; đây không phải cosine BGE-M3.</w:t>
      </w:r>
    </w:p>
    <w:p>
      <w:r>
        <w:rPr>
          <w:rFonts w:ascii="Calibri" w:hAnsi="Calibri"/>
          <w:b/>
          <w:i w:val="0"/>
          <w:color w:val="17365D"/>
          <w:sz w:val="22"/>
        </w:rPr>
        <w:t>Độ phức tạp schema.</w:t>
      </w:r>
      <w:r>
        <w:rPr>
          <w:rFonts w:ascii="Calibri" w:hAnsi="Calibri"/>
          <w:i w:val="0"/>
          <w:color w:val="000000"/>
          <w:sz w:val="22"/>
        </w:rPr>
        <w:t xml:space="preserve"> V1 chỉ sử dụng parameter schema phẳng, chưa bao gồm array hoặc nested object.</w:t>
      </w:r>
    </w:p>
    <w:p>
      <w:pPr>
        <w:pStyle w:val="Heading1"/>
        <w:keepNext/>
      </w:pPr>
      <w:r>
        <w:t>10. Tệp release được kiểm tra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C9D2DC"/>
          <w:left w:val="single" w:sz="4" w:color="C9D2DC"/>
          <w:bottom w:val="single" w:sz="4" w:color="C9D2DC"/>
          <w:right w:val="single" w:sz="4" w:color="C9D2DC"/>
          <w:insideH w:val="single" w:sz="4" w:color="C9D2DC"/>
          <w:insideV w:val="single" w:sz="4" w:color="C9D2DC"/>
        </w:tblBorders>
      </w:tblPr>
      <w:tblGrid>
        <w:gridCol w:w="4200"/>
        <w:gridCol w:w="2040"/>
        <w:gridCol w:w="3120"/>
      </w:tblGrid>
      <w:tr>
        <w:trPr>
          <w:tblHeader w:val="true"/>
        </w:trPr>
        <w:tc>
          <w:tcPr>
            <w:tcW w:type="dxa" w:w="4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Tệp</w:t>
            </w:r>
          </w:p>
        </w:tc>
        <w:tc>
          <w:tcPr>
            <w:tcW w:type="dxa" w:w="20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Dung lượng (byte)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SHA-256 (rút gọn)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train.jsonl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37.991.078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98f55af4e173894b...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val_seen.jsonl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2.707.039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a82809e40f8a03d6...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val_unseen.jsonl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2.684.055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a582f527134dd317...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test_seen.jsonl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5.434.108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f3c7f26b2a0a2fc3...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test_unseen.jsonl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5.387.996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6fc5d8c1b8ce16d1...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tools.json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37.054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507a80455da98d4c...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qa_report.json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3.789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371c06fd76c0aee2...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independent_audit.json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3.359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52816c3ead151efc...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dataset_card.md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2.078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i w:val="0"/>
                <w:color w:val="000000"/>
                <w:sz w:val="19"/>
              </w:rPr>
              <w:t>0261ba7dfedf37b9...</w:t>
            </w:r>
          </w:p>
        </w:tc>
      </w:tr>
    </w:tbl>
    <w:p>
      <w:pPr>
        <w:spacing w:before="0" w:after="40"/>
      </w:pPr>
    </w:p>
    <w:p>
      <w:r>
        <w:rPr>
          <w:rFonts w:ascii="Calibri" w:hAnsi="Calibri"/>
          <w:i w:val="0"/>
          <w:color w:val="000000"/>
          <w:sz w:val="22"/>
        </w:rPr>
        <w:t>Thư mục release: data/custom_vi/v1. Báo cáo này là bản sạch sau review; phần ghi chú thô và nội dung thống kê bị lặp trong tài liệu nguồn đã được hợp nhất.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 w:val="0"/>
        <w:color w:val="666666"/>
        <w:sz w:val="18"/>
      </w:rPr>
      <w:t xml:space="preserve">Trang </w:t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 w:val="0"/>
        <w:color w:val="666666"/>
        <w:sz w:val="18"/>
      </w:rPr>
      <w:t xml:space="preserve">Trang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666666"/>
        <w:sz w:val="17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666666"/>
        <w:sz w:val="17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CustomTools-VI v1 - Báo cáo thống kê sau review</dc:title>
  <dc:subject>Thống kê và kiểm định dataset CustomTools-VI v1</dc:subject>
  <dc:creator>Thinh</dc:creator>
  <cp:keywords>CustomTools-VI, tool calling, dataset, QA, Vietnamese</cp:keywords>
  <dc:description>Bản xuất lại sau review ngày 13/08/2026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