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8E7D" w14:textId="77777777" w:rsidR="00C97CB0" w:rsidRPr="00C97CB0" w:rsidRDefault="00C97CB0" w:rsidP="00C97CB0">
      <w:r w:rsidRPr="00C97CB0">
        <w:rPr>
          <w:b/>
          <w:bCs/>
        </w:rPr>
        <w:t>CSI labels (05_CSI_Label.R):</w:t>
      </w:r>
      <w:r w:rsidRPr="00C97CB0">
        <w:t xml:space="preserve"> For each firm, a monthly wealth index is constructed as the cumulative product of adjusted returns from first listing. A catastrophic stock implosion is defined when the ratio of the current wealth index to its all-time running maximum falls below threshold C. For each trigger month, a zombie window of T months is examined: if the maximum wealth index in that forward window does not exceed the crash-low by more than |M|, the event is confirmed. Firms that trigger but whose zombie window extends beyond the data end-date are right-censored (y = NA). Monthly statuses are collapsed to annual labels using a priority rule: any confirmed trigger month makes the year y = 1; any zombie or censored month without a trigger makes the year y = NA; otherwise y = 0.</w:t>
      </w:r>
    </w:p>
    <w:p w14:paraId="1D0849D3" w14:textId="77777777" w:rsidR="00C97CB0" w:rsidRPr="00C97CB0" w:rsidRDefault="00C97CB0" w:rsidP="00C97CB0">
      <w:r w:rsidRPr="00C97CB0">
        <w:rPr>
          <w:b/>
          <w:bCs/>
        </w:rPr>
        <w:t>Bucket labels (05B_Bucket_Labels.R):</w:t>
      </w:r>
      <w:r w:rsidRPr="00C97CB0">
        <w:t xml:space="preserve"> For each (firm, base year t), the 5-year forward CAGR is computed using monthly adjusted returns from January(t+1) through December(t+5), requiring a minimum of 48 observed return months. CAGR is annualised as (∏(1 + r_m))^(12/n) − 1. Firms with CAGR below −2% are labelled terminal losers (y = 1); firms with CAGR at or above 0% are labelled phoenixes (y = 0); firms in [−2%, 0%) are excluded as temporary losers (y = NA). Base years within 5 years of the data end-date are right-censored. All forward return data is strictly post-t, preserving temporal integrity when combined with features measured at year-end t.</w:t>
      </w:r>
    </w:p>
    <w:p w14:paraId="6204D33B" w14:textId="77777777" w:rsidR="00C97CB0" w:rsidRPr="00C97CB0" w:rsidRDefault="00C97CB0" w:rsidP="00C97CB0">
      <w:r w:rsidRPr="00C97CB0">
        <w:rPr>
          <w:b/>
          <w:bCs/>
        </w:rPr>
        <w:t>Structural labels (05C_Structural_Labels.R):</w:t>
      </w:r>
      <w:r w:rsidRPr="00C97CB0">
        <w:t xml:space="preserve"> The structural label is the intersection of CSI and bucket labels, with y_structural determined entirely by y_loser. A firm is labelled a structural loser (y = 1) if its 5-year forward CAGR is below −2%, regardless of CSI status. A firm is structural quality (y = 0) if its 5-year forward CAGR is at or above 0%, including CSI phoenix firms that crashed but recovered. The CSI dimension informs the four-quadrant decomposition for reporting but does not alter the binary label.</w:t>
      </w:r>
    </w:p>
    <w:p w14:paraId="60C6F972" w14:textId="77777777" w:rsidR="002131C6" w:rsidRDefault="002131C6"/>
    <w:sectPr w:rsidR="002131C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94"/>
    <w:rsid w:val="000A6DD2"/>
    <w:rsid w:val="00116F52"/>
    <w:rsid w:val="00117A4C"/>
    <w:rsid w:val="00146B1B"/>
    <w:rsid w:val="002131C6"/>
    <w:rsid w:val="00453E2A"/>
    <w:rsid w:val="004A0239"/>
    <w:rsid w:val="0051179C"/>
    <w:rsid w:val="00570DB8"/>
    <w:rsid w:val="005B1494"/>
    <w:rsid w:val="0064798B"/>
    <w:rsid w:val="00782AF7"/>
    <w:rsid w:val="00B53AD7"/>
    <w:rsid w:val="00B6278B"/>
    <w:rsid w:val="00C911C1"/>
    <w:rsid w:val="00C97CB0"/>
    <w:rsid w:val="00F5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0CCD1"/>
  <w15:chartTrackingRefBased/>
  <w15:docId w15:val="{5F4893E7-F978-4162-93D4-EA397523E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Leiter, Tristan Kilian</dc:creator>
  <cp:keywords/>
  <dc:description/>
  <cp:lastModifiedBy>Leiter, Tristan Kilian</cp:lastModifiedBy>
  <cp:revision>2</cp:revision>
  <dcterms:created xsi:type="dcterms:W3CDTF">2026-03-27T20:11:00Z</dcterms:created>
  <dcterms:modified xsi:type="dcterms:W3CDTF">2026-03-27T20:11:00Z</dcterms:modified>
</cp:coreProperties>
</file>