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19.png" ContentType="image/png"/>
  <Override PartName="/word/media/rId12.png" ContentType="image/png"/>
  <Override PartName="/word/media/rId31.png" ContentType="image/png"/>
  <Override PartName="/word/media/rId25.png" ContentType="image/png"/>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X1ced17b413bb5aed73f5574fc5e1440d6537c2e"/>
    <w:p>
      <w:pPr>
        <w:pStyle w:val="Heading1"/>
      </w:pPr>
      <w:r>
        <w:t xml:space="preserve">A Reproducible AIS Trajectory Prediction Benchmark for Navigation Risk-Warning Support</w:t>
      </w:r>
    </w:p>
    <w:p>
      <w:pPr>
        <w:pStyle w:val="FirstParagraph"/>
      </w:pPr>
      <w:r>
        <w:t xml:space="preserve">Article type: Research Article</w:t>
      </w:r>
    </w:p>
    <w:p>
      <w:pPr>
        <w:pStyle w:val="BodyText"/>
      </w:pPr>
      <w:r>
        <w:t xml:space="preserve">Short title: AIS Benchmark for Risk Warning</w:t>
      </w:r>
    </w:p>
    <w:p>
      <w:pPr>
        <w:pStyle w:val="BodyText"/>
      </w:pPr>
      <w:r>
        <w:t xml:space="preserve">Author: Li Bo</w:t>
      </w:r>
    </w:p>
    <w:p>
      <w:pPr>
        <w:pStyle w:val="BodyText"/>
      </w:pPr>
      <w:r>
        <w:t xml:space="preserve">Affiliation: China Maritime Service Center, China</w:t>
      </w:r>
    </w:p>
    <w:p>
      <w:pPr>
        <w:pStyle w:val="BodyText"/>
      </w:pPr>
      <w:r>
        <w:t xml:space="preserve">Corresponding author: Li Bo, li.bo@cmaritime.com.cn</w:t>
      </w:r>
    </w:p>
    <w:bookmarkStart w:id="9" w:name="abstract"/>
    <w:p>
      <w:pPr>
        <w:pStyle w:val="Heading2"/>
      </w:pPr>
      <w:r>
        <w:t xml:space="preserve">ABSTRACT</w:t>
      </w:r>
    </w:p>
    <w:p>
      <w:pPr>
        <w:pStyle w:val="FirstParagraph"/>
      </w:pPr>
      <w:r>
        <w:t xml:space="preserve">Short-horizon AIS trajectory prediction is often framed as a machine-learning problem, but navigation use also requires strong baselines, reproducible splits and downstream warning evidence. This study reports an auditable benchmark built from NOAA historical AIS data on four 2024 dates, containing 186,326 trajectory windows from 7,425 MMSI values. Each sample uses 30 one-minute history points to forecast 15 one-minute positions. Kinematic, Kalman-style, linear and neural baselines are evaluated with Haversine ADE/FDE and local-component RMSE/MAE, followed by CPA/TCPA risk-warning metrics. Kalman-CV gives the best mean ADE in the reported benchmark run: 1,759.7 m on the temporal holdout and 3,109.4 m on the vessel-disjoint holdout. Under the documented baseline configurations, the neural sequence baselines do not outperform the strongest motion baselines. In 2,000 AIS-derived encounter scenarios, Kalman-CV reaches precision 0.963 and recall 0.900. The contribution is a reproducible navigation benchmark, not autonomous collision-avoidance validation.</w:t>
      </w:r>
    </w:p>
    <w:bookmarkEnd w:id="9"/>
    <w:bookmarkStart w:id="10" w:name="introduction"/>
    <w:p>
      <w:pPr>
        <w:pStyle w:val="Heading2"/>
      </w:pPr>
      <w:r>
        <w:t xml:space="preserve">1. INTRODUCTION</w:t>
      </w:r>
    </w:p>
    <w:p>
      <w:pPr>
        <w:pStyle w:val="FirstParagraph"/>
      </w:pPr>
      <w:r>
        <w:t xml:space="preserve">AIS trajectory prediction has become a familiar component in maritime traffic analysis, port monitoring, route inference and collision-risk assessment. The availability of large historical AIS archives has also encouraged increasingly complex forecasting models. The difficulty is that better model architecture alone does not automatically produce better navigation evidence. A forecast that appears accurate under one split can fail when evaluated on vessels not seen during training, and an average position error can obscure whether a risk-warning system produces more missed warnings or more false alarms. Navigation research therefore needs protocols that connect data provenance, baseline strength, forecast metrics and downstream warning behaviour.</w:t>
      </w:r>
    </w:p>
    <w:p>
      <w:pPr>
        <w:pStyle w:val="BodyText"/>
      </w:pPr>
      <w:r>
        <w:t xml:space="preserve">The core problem addressed in this paper is methodological rather than purely architectural. Many AIS prediction studies compare proposed models with weak or inconsistently implemented baselines, use split definitions that are difficult to reproduce, or stop the evaluation at ADE and FDE. Those metrics are useful, but they are not the end of the navigation question. A shipboard or shore-based decision-support layer must also consider the closest point of approach, the time to closest approach, warning thresholds, false alarms and missed warnings. A trajectory model that reduces an average error by a small margin may not improve a CPA/TCPA warning, while a model with a modest mean ADE can still be valuable if its warning behaviour is stable and interpretable.</w:t>
      </w:r>
    </w:p>
    <w:p>
      <w:pPr>
        <w:pStyle w:val="BodyText"/>
      </w:pPr>
      <w:r>
        <w:t xml:space="preserve">For navigation readers, AIS prediction is best understood as a support layer for maritime situational awareness, not as a stand-alone deep-learning leaderboard. This framing leads to three research questions. RQ1 asks how simple kinematic, statistical and neural baselines compare under an audited short-horizon AIS protocol. RQ2 asks whether model rankings remain stable under temporal and vessel-disjoint holdouts. RQ3 asks how trajectory-prediction differences affect CPA/TCPA warning precision, recall, false alarms and missed warnings. These questions are deliberately conservative because they map to the evidence available in the audited data and result files.</w:t>
      </w:r>
    </w:p>
    <w:p>
      <w:pPr>
        <w:pStyle w:val="BodyText"/>
      </w:pPr>
      <w:r>
        <w:t xml:space="preserve">The navigation context also changes the burden of proof. In a generic time-series benchmark, it may be sufficient to show that one model has a lower average error than another. In a maritime setting, the user of a prediction layer may be a watch officer, a vessel-traffic-service operator, a shore-based monitoring analyst or an automated advisory module. These users do not only need a point forecast. They need to know when a forecast can be trusted, when it is likely to produce nuisance alarms, and when it might miss a close encounter. This is why the paper treats the data protocol, split design and risk-warning evaluation as part of the same contribution.</w:t>
      </w:r>
    </w:p>
    <w:p>
      <w:pPr>
        <w:pStyle w:val="BodyText"/>
      </w:pPr>
      <w:r>
        <w:t xml:space="preserve">The first contribution is a reproducible AIS benchmark protocol. It records raw-file checksums, a processed manifest, temporal split labels and vessel-disjoint split labels for a short-horizon forecasting task. The processed artefact keeps both temporal and vessel-disjoint labels, so the same data build supports two complementary forms of generalisation testing. This is important because temporal holdouts test later windows from the same broad traffic distribution, while vessel-disjoint holdouts ask whether the model transfers to MMSI values not used for training.</w:t>
      </w:r>
    </w:p>
    <w:p>
      <w:pPr>
        <w:pStyle w:val="BodyText"/>
      </w:pPr>
      <w:r>
        <w:t xml:space="preserve">The second contribution is a baseline-centred empirical finding. In the reported benchmark run, the Kalman-style constant-velocity baseline is the best mean-ADE model in both holdouts, and the ordinary constant-velocity baseline remains a strong reference. Ridge regression is close to Kalman-CV on the vessel-disjoint holdout (3,446.9 m ADE), while the documented neural sequence baselines remain behind the kinematic and linear baselines. This result should not be read as a universal claim that neural models are unsuitable for maritime prediction. It is a cautionary, reproducible result: architecture-superiority claims require stronger tuning, preprocessing, split discipline and external validation than a single reported run.</w:t>
      </w:r>
    </w:p>
    <w:p>
      <w:pPr>
        <w:pStyle w:val="BodyText"/>
      </w:pPr>
      <w:r>
        <w:t xml:space="preserve">The third contribution is a navigation-facing warning evaluation. It translates selected trajectory pairs into CPA/TCPA warning classifications and reports precision, recall, false alarms, missed warnings, lead-time error and CPA error. The labels are derived from observed future separation inside the forecast horizon, so the analysis remains a historical decision-support evaluation rather than a closed-loop collision-avoidance simulation.</w:t>
      </w:r>
    </w:p>
    <w:p>
      <w:pPr>
        <w:pStyle w:val="BodyText"/>
      </w:pPr>
      <w:r>
        <w:t xml:space="preserve">This conservative framing is also intended to make the work useful even if a reader disagrees with the specific baseline set. The evidence chain is reusable: new models can be added, alternative warning thresholds can be tested, and later AIS source dates can be processed without rewriting the manuscript logic. The workflow therefore contributes a reproducible evaluation pattern as well as a numerical result. The result reported here is one state of that workflow, not a claim that the model list is final.</w:t>
      </w:r>
    </w:p>
    <w:p>
      <w:pPr>
        <w:pStyle w:val="BodyText"/>
      </w:pPr>
      <w:r>
        <w:t xml:space="preserve">The remainder of the paper is organised as follows. Section 2 reviews related work on AIS prediction, simple baselines, neural sequence models, CPA/TCPA risk assessment and reproducible evaluation. Section 3 describes the data and the reproducible protocol. Section 4 defines the model families and metrics. Section 5 explains the risk-warning evaluation design. Section 6 reports trajectory and warning results. Section 7 discusses navigation implications. Sections 8 and 9 state limitations and conclusions.</w:t>
      </w:r>
    </w:p>
    <w:bookmarkEnd w:id="10"/>
    <w:bookmarkStart w:id="11" w:name="related-work"/>
    <w:p>
      <w:pPr>
        <w:pStyle w:val="Heading2"/>
      </w:pPr>
      <w:r>
        <w:t xml:space="preserve">2. RELATED WORK</w:t>
      </w:r>
    </w:p>
    <w:p>
      <w:pPr>
        <w:pStyle w:val="FirstParagraph"/>
      </w:pPr>
      <w:r>
        <w:t xml:space="preserve">AIS data have been used for route discovery, anomaly detection, traffic characterisation and short-term vessel prediction. A recurring theme in this literature is that maritime trajectories are highly structured by geography, navigation rules, traffic lanes, port approaches and operational constraints, but they are also noisy because AIS reception, reporting intervals and vessel manoeuvres are irregular. Pallotta et al. (2013) framed AIS pattern discovery as a way to support anomaly detection and route prediction. Tu et al. (2018) reviewed AIS analytics across data handling and methodology, highlighting the breadth of tasks that depend on reliable AIS preprocessing. Ristic et al. (2008), Hexeberg et al. (2017), Dalsnes et al. (2018) and Millefiori et al. (2016) illustrate the range of probabilistic and statistical approaches used before recent deep-learning enthusiasm.</w:t>
      </w:r>
    </w:p>
    <w:p>
      <w:pPr>
        <w:pStyle w:val="BodyText"/>
      </w:pPr>
      <w:r>
        <w:t xml:space="preserve">The same literature also shows why AIS prediction cannot be separated from data engineering. AIS messages can be sparse, duplicated, delayed or spatially inconsistent, and the same physical vessel can produce many overlapping windows. A benchmark that hides these choices behind a preprocessed array is difficult to interpret. For that reason, the present work records the sampling choices and preserves metadata needed for temporal and vessel-disjoint evaluation. This is not only a reproducibility convenience; it is a defence against overoptimistic generalisation claims.</w:t>
      </w:r>
    </w:p>
    <w:p>
      <w:pPr>
        <w:pStyle w:val="BodyText"/>
      </w:pPr>
      <w:r>
        <w:t xml:space="preserve">For short horizons, simple motion assumptions remain difficult to dismiss. Constant velocity, constant acceleration and Kalman-style filtering are not merely straw men; they encode the fact that many vessels maintain course and speed for short intervals, especially when the forecast horizon is measured in minutes. Kalman (1960) remains foundational for recursive filtering, and navigation applications often benefit from the interpretability and computational economy of such filters. The present benchmark therefore treats kinematic baselines as first-class models. A proposed model that does not outperform them under well-defined splits should not be described as a navigation advance without a specific explanation of where its value lies.</w:t>
      </w:r>
    </w:p>
    <w:p>
      <w:pPr>
        <w:pStyle w:val="BodyText"/>
      </w:pPr>
      <w:r>
        <w:t xml:space="preserve">This baseline stance follows a broader principle in safety-related prediction. A complex model should earn its complexity by providing a measurable advantage under a relevant operational criterion. That advantage might be lower FDE, better stability during manoeuvres, fewer missed warnings, calibrated uncertainty or robustness to vessel-disjoint testing. If the advantage is absent, the simpler model may still be preferable because it is faster, easier to audit and easier to explain. In this study, the strongest reported result comes from such a simple model family.</w:t>
      </w:r>
    </w:p>
    <w:p>
      <w:pPr>
        <w:pStyle w:val="BodyText"/>
      </w:pPr>
      <w:r>
        <w:t xml:space="preserve">Neural sequence models provide flexible function approximation and can learn nonlinear temporal patterns, but they are sensitive to representation, normalisation, training regime and data split. LSTM networks (Hochreiter and Schmidhuber, 1997), GRU networks (Cho et al., 2014), temporal convolutional networks (Bai et al., 2018) and Transformers (Vaswani et al., 2017) are all reasonable baseline families for sequence forecasting. Their inclusion in this benchmark does not imply that the particular shallow configurations used here exhaust the potential of neural AIS prediction. Instead, they serve as documented baselines that expose a practical issue: neural models require careful protocol, scaling and training-budget choices before they can support navigation-facing superiority claims.</w:t>
      </w:r>
    </w:p>
    <w:p>
      <w:pPr>
        <w:pStyle w:val="BodyText"/>
      </w:pPr>
      <w:r>
        <w:t xml:space="preserve">Collision-risk analysis adds another layer. Closest point of approach and time to closest approach are standard quantities for encounter assessment, and ship-domain studies provide additional geometric context. Goodwin (1975), Fujii and Tanaka (1971), Hansen et al. (2013), Mou et al. (2010), Statheros et al. (2008), and Szlapczynski and Szlapczynska (2017) show that navigation risk is shaped by encounter geometry, traffic density, domain assumptions and decision rules. The present study does not validate a complete collision-avoidance controller. It uses CPA/TCPA warning metrics to ask whether differences in trajectory forecasts matter for a simple decision-support warning layer.</w:t>
      </w:r>
    </w:p>
    <w:p>
      <w:pPr>
        <w:pStyle w:val="BodyText"/>
      </w:pPr>
      <w:r>
        <w:t xml:space="preserve">The distinction between warning support and avoidance control is essential. A warning system can be evaluated from historical AIS by asking whether the predicted encounter geometry would have raised an alert. A collision-avoidance controller requires a much richer experimental setting, including own-ship dynamics, target-ship response, COLREGs interpretation, human supervision and failure handling. The present paper stays on the former side of that boundary. This makes the experiment narrower, but also makes the claims more defensible.</w:t>
      </w:r>
    </w:p>
    <w:p>
      <w:pPr>
        <w:pStyle w:val="BodyText"/>
      </w:pPr>
      <w:r>
        <w:t xml:space="preserve">Reproducibility is central because AIS studies can be surprisingly difficult to compare. Small changes in cleaning rules, interpolation, sample slicing, vessel filtering, split construction or distance metrics can alter results. Scientific-computing recommendations such as Wilson et al. (2017) and reproducibility discussions such as Leek and Peng (2015) and Pineau et al. (2021) motivate the artefact-first design used here. Statistical-comparison guidance from Demsar (2006) also supports paired evaluation and transparent reporting rather than a single aggregate number. The benchmark therefore stores generated evidence as CSV and JSON artefacts and regenerates manuscript tables from those artefacts.</w:t>
      </w:r>
    </w:p>
    <w:p>
      <w:pPr>
        <w:pStyle w:val="BodyText"/>
      </w:pPr>
      <w:r>
        <w:t xml:space="preserve">The related-work gap addressed by this paper is therefore not the absence of AIS prediction models. It is the absence, in many model-centred papers, of a compact evidence chain that a navigation reviewer can audit from raw data manifest to risk-warning metric. By combining a conservative model comparison with downstream warning analysis, this work tries to make model evaluation legible to both machine-learning and navigation-safety readers.</w:t>
      </w:r>
    </w:p>
    <w:bookmarkEnd w:id="11"/>
    <w:bookmarkStart w:id="16" w:name="data-and-reproducible-protocol"/>
    <w:p>
      <w:pPr>
        <w:pStyle w:val="Heading2"/>
      </w:pPr>
      <w:r>
        <w:t xml:space="preserve">3. DATA AND REPRODUCIBLE PROTOCOL</w:t>
      </w:r>
    </w:p>
    <w:p>
      <w:pPr>
        <w:pStyle w:val="FirstParagraph"/>
      </w:pPr>
      <w:r>
        <w:t xml:space="preserve">The data source is the NOAA MarineCadastre.gov AIS archive (MarineCadastre.gov, 2024; NOAA Office for Coastal Management, 2026). The processed artefact covers four source dates: 2024-01-02, 2024-01-09, 2024-02-06, 2024-03-05. The data manifest records 186,326 trajectory windows, 7,425 unique MMSI values, and a time range from 2024-01-02T00:00:00 to 2024-03-05T12:59:00. The region labels represented in the processed build are east_gulf_coast, hawaii_pacific, other, west_coast. The mean speed over ground recorded in the processed sample metadata is 2.22 knots, with a maximum of 34.88 knots. The mean turn-intensity metadata value is 17.69 degrees, and the mean interpolation ratio is 0.181.</w:t>
      </w:r>
    </w:p>
    <w:p>
      <w:pPr>
        <w:pStyle w:val="BodyText"/>
      </w:pPr>
      <w:r>
        <w:t xml:space="preserve">Each example consists of a fixed-length historical sequence and a fixed-length future sequence. The protocol uses 30 input steps and 15 forecast steps, with one-minute spacing after resampling. The processed coordinates remain WGS84 latitude and longitude. ADE and FDE are computed as Haversine distances in metres. RMSE and MAE are computed on local north/east component errors, also in metres. This avoids confusing angular degrees with metric displacement, a common source of inflated or misleading claims in geospatial prediction.</w:t>
      </w:r>
    </w:p>
    <w:p>
      <w:pPr>
        <w:pStyle w:val="BodyText"/>
      </w:pPr>
      <w:r>
        <w:t xml:space="preserve">The one-minute grid is a compromise between AIS reporting irregularity and navigational interpretability. It is short enough to support 15-minute risk-warning analysis and long enough to reduce the influence of individual message jitter. The window design also keeps the task deliberately local: the model is asked to forecast near-future motion, not to infer an entire voyage plan. This is why simple baselines are expected to be strong and why failure to beat them is informative rather than surprising.</w:t>
      </w:r>
    </w:p>
    <w:p>
      <w:pPr>
        <w:pStyle w:val="BodyText"/>
      </w:pPr>
      <w:r>
        <w:t xml:space="preserve">The temporal split uses 130,428 training samples, 27,948 validation samples and 27,950 test samples. The vessel-disjoint split uses 130,018 training samples, 28,597 validation samples and 27,711 test samples. The temporal split evaluates future time blocks, while the vessel-disjoint split holds out MMSI values from training. Neither split should be interpreted as all-day seasonal validation or live AIS deployment. The split design is stronger than a single random split, but it is still a historical time-block protocol.</w:t>
      </w:r>
    </w:p>
    <w:p>
      <w:pPr>
        <w:pStyle w:val="BodyText"/>
      </w:pPr>
      <w:r>
        <w:t xml:space="preserve">The vessel-disjoint split is particularly important because AIS windows from the same vessel are not independent in a behavioural sense. If a model sees many windows from a vessel during training, it may partly learn that vessel’s typical operating area or motion regime. Holding out MMSI values reduces this leakage and creates a more demanding test. It is still not perfect, because vessels can share routes and regions, but it moves the benchmark closer to the way a deployed system would encounter previously unseen targets.</w:t>
      </w:r>
    </w:p>
    <w:bookmarkStart w:id="15" w:name="data-quality-and-representativeness"/>
    <w:p>
      <w:pPr>
        <w:pStyle w:val="Heading3"/>
      </w:pPr>
      <w:r>
        <w:t xml:space="preserve">Data quality and representativeness</w:t>
      </w:r>
    </w:p>
    <w:p>
      <w:pPr>
        <w:pStyle w:val="FirstParagraph"/>
      </w:pPr>
      <w:r>
        <w:t xml:space="preserve">The dataset is suitable for a reproducible benchmark, but it should not be read as a balanced survey of all maritime operating conditions. Table 1 summarises the main representativeness checks available from the processed metadata and the risk-warning scenario file. The low mean speed and the temporal-test speed-bin composition indicate that many windows are slow-moving, near-shore or port-influenced. This does not invalidate a short-horizon benchmark, but it does mean that aggregate ADE must be interpreted together with speed, region and horizon summaries.</w:t>
      </w:r>
    </w:p>
    <w:p>
      <w:pPr>
        <w:pStyle w:val="BodyText"/>
      </w:pPr>
      <w:r>
        <w:t xml:space="preserve">Table 1. Data representativeness and quality summary.</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Item</w:t>
            </w:r>
          </w:p>
        </w:tc>
        <w:tc>
          <w:tcPr/>
          <w:p>
            <w:pPr>
              <w:pStyle w:val="Compact"/>
              <w:jc w:val="right"/>
            </w:pPr>
            <w:r>
              <w:t xml:space="preserve">Value</w:t>
            </w:r>
          </w:p>
        </w:tc>
        <w:tc>
          <w:tcPr/>
          <w:p>
            <w:pPr>
              <w:pStyle w:val="Compact"/>
            </w:pPr>
            <w:r>
              <w:t xml:space="preserve">Interpretation</w:t>
            </w:r>
          </w:p>
        </w:tc>
      </w:tr>
      <w:tr>
        <w:tc>
          <w:tcPr/>
          <w:p>
            <w:pPr>
              <w:pStyle w:val="Compact"/>
            </w:pPr>
            <w:r>
              <w:t xml:space="preserve">Source dates</w:t>
            </w:r>
          </w:p>
        </w:tc>
        <w:tc>
          <w:tcPr/>
          <w:p>
            <w:pPr>
              <w:pStyle w:val="Compact"/>
              <w:jc w:val="right"/>
            </w:pPr>
            <w:r>
              <w:t xml:space="preserve">4</w:t>
            </w:r>
          </w:p>
        </w:tc>
        <w:tc>
          <w:tcPr/>
          <w:p>
            <w:pPr>
              <w:pStyle w:val="Compact"/>
            </w:pPr>
            <w:r>
              <w:t xml:space="preserve">Multi-date historical AIS sample; not a seasonal or global coverage claim.</w:t>
            </w:r>
          </w:p>
        </w:tc>
      </w:tr>
      <w:tr>
        <w:tc>
          <w:tcPr/>
          <w:p>
            <w:pPr>
              <w:pStyle w:val="Compact"/>
            </w:pPr>
            <w:r>
              <w:t xml:space="preserve">Trajectory windows</w:t>
            </w:r>
          </w:p>
        </w:tc>
        <w:tc>
          <w:tcPr/>
          <w:p>
            <w:pPr>
              <w:pStyle w:val="Compact"/>
              <w:jc w:val="right"/>
            </w:pPr>
            <w:r>
              <w:t xml:space="preserve">186,326</w:t>
            </w:r>
          </w:p>
        </w:tc>
        <w:tc>
          <w:tcPr/>
          <w:p>
            <w:pPr>
              <w:pStyle w:val="Compact"/>
            </w:pPr>
            <w:r>
              <w:t xml:space="preserve">Adequate scale for a benchmark-style evaluation.</w:t>
            </w:r>
          </w:p>
        </w:tc>
      </w:tr>
      <w:tr>
        <w:tc>
          <w:tcPr/>
          <w:p>
            <w:pPr>
              <w:pStyle w:val="Compact"/>
            </w:pPr>
            <w:r>
              <w:t xml:space="preserve">Unique MMSI values</w:t>
            </w:r>
          </w:p>
        </w:tc>
        <w:tc>
          <w:tcPr/>
          <w:p>
            <w:pPr>
              <w:pStyle w:val="Compact"/>
              <w:jc w:val="right"/>
            </w:pPr>
            <w:r>
              <w:t xml:space="preserve">7,425</w:t>
            </w:r>
          </w:p>
        </w:tc>
        <w:tc>
          <w:tcPr/>
          <w:p>
            <w:pPr>
              <w:pStyle w:val="Compact"/>
            </w:pPr>
            <w:r>
              <w:t xml:space="preserve">Broad vessel-identity coverage for vessel-disjoint testing.</w:t>
            </w:r>
          </w:p>
        </w:tc>
      </w:tr>
      <w:tr>
        <w:tc>
          <w:tcPr/>
          <w:p>
            <w:pPr>
              <w:pStyle w:val="Compact"/>
            </w:pPr>
            <w:r>
              <w:t xml:space="preserve">Mean SOG</w:t>
            </w:r>
          </w:p>
        </w:tc>
        <w:tc>
          <w:tcPr/>
          <w:p>
            <w:pPr>
              <w:pStyle w:val="Compact"/>
              <w:jc w:val="right"/>
            </w:pPr>
            <w:r>
              <w:t xml:space="preserve">2.22 kn; max 34.88 kn</w:t>
            </w:r>
          </w:p>
        </w:tc>
        <w:tc>
          <w:tcPr/>
          <w:p>
            <w:pPr>
              <w:pStyle w:val="Compact"/>
            </w:pPr>
            <w:r>
              <w:t xml:space="preserve">Low-speed traffic is prominent, so aggregate metrics are interpreted with slice results.</w:t>
            </w:r>
          </w:p>
        </w:tc>
      </w:tr>
      <w:tr>
        <w:tc>
          <w:tcPr/>
          <w:p>
            <w:pPr>
              <w:pStyle w:val="Compact"/>
            </w:pPr>
            <w:r>
              <w:t xml:space="preserve">Temporal-test speed bins</w:t>
            </w:r>
          </w:p>
        </w:tc>
        <w:tc>
          <w:tcPr/>
          <w:p>
            <w:pPr>
              <w:pStyle w:val="Compact"/>
              <w:jc w:val="right"/>
            </w:pPr>
            <w:r>
              <w:t xml:space="preserve">0-2 kn 20,601 (73.7%); 2-8 kn 4,772 (17.1%); 8-15 kn 2,205 (7.9%); 15-50 kn 372 (1.3%)</w:t>
            </w:r>
          </w:p>
        </w:tc>
        <w:tc>
          <w:tcPr/>
          <w:p>
            <w:pPr>
              <w:pStyle w:val="Compact"/>
            </w:pPr>
            <w:r>
              <w:t xml:space="preserve">The temporal test set is low-speed dominated.</w:t>
            </w:r>
          </w:p>
        </w:tc>
      </w:tr>
      <w:tr>
        <w:tc>
          <w:tcPr/>
          <w:p>
            <w:pPr>
              <w:pStyle w:val="Compact"/>
            </w:pPr>
            <w:r>
              <w:t xml:space="preserve">Temporal-test regions</w:t>
            </w:r>
          </w:p>
        </w:tc>
        <w:tc>
          <w:tcPr/>
          <w:p>
            <w:pPr>
              <w:pStyle w:val="Compact"/>
              <w:jc w:val="right"/>
            </w:pPr>
            <w:r>
              <w:t xml:space="preserve">east_gulf_coast 22,583 (80.8%); hawaii_pacific 213 (0.8%); other 550 (2.0%); west_coast 4,604 (16.5%)</w:t>
            </w:r>
          </w:p>
        </w:tc>
        <w:tc>
          <w:tcPr/>
          <w:p>
            <w:pPr>
              <w:pStyle w:val="Compact"/>
            </w:pPr>
            <w:r>
              <w:t xml:space="preserve">Region composition is not balanced; regional robustness is not claimed.</w:t>
            </w:r>
          </w:p>
        </w:tc>
      </w:tr>
      <w:tr>
        <w:tc>
          <w:tcPr/>
          <w:p>
            <w:pPr>
              <w:pStyle w:val="Compact"/>
            </w:pPr>
            <w:r>
              <w:t xml:space="preserve">Interpolation ratio</w:t>
            </w:r>
          </w:p>
        </w:tc>
        <w:tc>
          <w:tcPr/>
          <w:p>
            <w:pPr>
              <w:pStyle w:val="Compact"/>
              <w:jc w:val="right"/>
            </w:pPr>
            <w:r>
              <w:t xml:space="preserve">mean 0.181; max 0.244</w:t>
            </w:r>
          </w:p>
        </w:tc>
        <w:tc>
          <w:tcPr/>
          <w:p>
            <w:pPr>
              <w:pStyle w:val="Compact"/>
            </w:pPr>
            <w:r>
              <w:t xml:space="preserve">Interpolation is moderate and remains a possible contributor to tail errors.</w:t>
            </w:r>
          </w:p>
        </w:tc>
      </w:tr>
      <w:tr>
        <w:tc>
          <w:tcPr/>
          <w:p>
            <w:pPr>
              <w:pStyle w:val="Compact"/>
            </w:pPr>
            <w:r>
              <w:t xml:space="preserve">Turn intensity</w:t>
            </w:r>
          </w:p>
        </w:tc>
        <w:tc>
          <w:tcPr/>
          <w:p>
            <w:pPr>
              <w:pStyle w:val="Compact"/>
              <w:jc w:val="right"/>
            </w:pPr>
            <w:r>
              <w:t xml:space="preserve">mean 17.69 deg; max 148.8 deg</w:t>
            </w:r>
          </w:p>
        </w:tc>
        <w:tc>
          <w:tcPr/>
          <w:p>
            <w:pPr>
              <w:pStyle w:val="Compact"/>
            </w:pPr>
            <w:r>
              <w:t xml:space="preserve">Manoeuvring heterogeneity supports horizon and slice analysis.</w:t>
            </w:r>
          </w:p>
        </w:tc>
      </w:tr>
      <w:tr>
        <w:tc>
          <w:tcPr/>
          <w:p>
            <w:pPr>
              <w:pStyle w:val="Compact"/>
            </w:pPr>
            <w:r>
              <w:t xml:space="preserve">Risk-warning scenarios</w:t>
            </w:r>
          </w:p>
        </w:tc>
        <w:tc>
          <w:tcPr/>
          <w:p>
            <w:pPr>
              <w:pStyle w:val="Compact"/>
              <w:jc w:val="right"/>
            </w:pPr>
            <w:r>
              <w:t xml:space="preserve">2,000 scenarios; 520 truth warnings; median observed CPA 1.302 nmi; median observed TCPA 7.0 min; regions: east_gulf_coast 991, west_coast 953, hawaii_pacific 41, other 15</w:t>
            </w:r>
          </w:p>
        </w:tc>
        <w:tc>
          <w:tcPr/>
          <w:p>
            <w:pPr>
              <w:pStyle w:val="Compact"/>
            </w:pPr>
            <w:r>
              <w:t xml:space="preserve">Decision-support slice, not a full encounter-population model.</w:t>
            </w:r>
          </w:p>
        </w:tc>
      </w:tr>
    </w:tbl>
    <w:p>
      <w:pPr>
        <w:pStyle w:val="BodyText"/>
      </w:pPr>
      <w:r>
        <w:t xml:space="preserve">Figure 1 summarises the evidence chain from raw AIS to risk-warning metrics.</w:t>
      </w:r>
    </w:p>
    <w:p>
      <w:pPr>
        <w:pStyle w:val="CaptionedFigure"/>
      </w:pPr>
      <w:r>
        <w:drawing>
          <wp:inline>
            <wp:extent cx="5334000" cy="1047278"/>
            <wp:effectExtent b="0" l="0" r="0" t="0"/>
            <wp:docPr descr="Figure 1. Reproducible evidence chain used in this study." title="" id="13" name="Picture"/>
            <a:graphic>
              <a:graphicData uri="http://schemas.openxmlformats.org/drawingml/2006/picture">
                <pic:pic>
                  <pic:nvPicPr>
                    <pic:cNvPr descr="figures/jon_pipeline_protocol.png" id="14" name="Picture"/>
                    <pic:cNvPicPr>
                      <a:picLocks noChangeArrowheads="1" noChangeAspect="1"/>
                    </pic:cNvPicPr>
                  </pic:nvPicPr>
                  <pic:blipFill>
                    <a:blip r:embed="rId12"/>
                    <a:stretch>
                      <a:fillRect/>
                    </a:stretch>
                  </pic:blipFill>
                  <pic:spPr bwMode="auto">
                    <a:xfrm>
                      <a:off x="0" y="0"/>
                      <a:ext cx="5334000" cy="1047278"/>
                    </a:xfrm>
                    <a:prstGeom prst="rect">
                      <a:avLst/>
                    </a:prstGeom>
                    <a:noFill/>
                    <a:ln w="9525">
                      <a:noFill/>
                      <a:headEnd/>
                      <a:tailEnd/>
                    </a:ln>
                  </pic:spPr>
                </pic:pic>
              </a:graphicData>
            </a:graphic>
          </wp:inline>
        </w:drawing>
      </w:r>
    </w:p>
    <w:p>
      <w:pPr>
        <w:pStyle w:val="ImageCaption"/>
      </w:pPr>
      <w:r>
        <w:t xml:space="preserve">Figure 1. Reproducible evidence chain used in this study.</w:t>
      </w:r>
    </w:p>
    <w:p>
      <w:pPr>
        <w:pStyle w:val="BodyText"/>
      </w:pPr>
      <w:r>
        <w:t xml:space="preserve">The analysis is designed so that manuscript tables and figures remain tied to machine-readable evidence rather than hidden spreadsheet calculations. The main tables and figures are regenerated from the public release’s data manifest, model-metric tables, horizon and group summaries, statistical summaries and risk-warning metrics. The supplementary file lists the machine-readable evidence files used for this manuscript, while the main text reports only the evidence needed to understand and evaluate the navigation claim.</w:t>
      </w:r>
    </w:p>
    <w:p>
      <w:pPr>
        <w:pStyle w:val="BodyText"/>
      </w:pPr>
      <w:r>
        <w:t xml:space="preserve">A practical benefit of this design is that future revisions can be regenerated after new data or models are added. If a reviewer asks for another time block, a different risk threshold or an additional baseline, the project can update the evidence files and regenerate the manuscript tables. This reduces the chance that a paper, a figure and a code output drift apart during revision.</w:t>
      </w:r>
    </w:p>
    <w:bookmarkEnd w:id="15"/>
    <w:bookmarkEnd w:id="16"/>
    <w:bookmarkStart w:id="17" w:name="trajectory-prediction-models-and-metrics"/>
    <w:p>
      <w:pPr>
        <w:pStyle w:val="Heading2"/>
      </w:pPr>
      <w:r>
        <w:t xml:space="preserve">4. TRAJECTORY PREDICTION MODELS AND METRICS</w:t>
      </w:r>
    </w:p>
    <w:p>
      <w:pPr>
        <w:pStyle w:val="FirstParagraph"/>
      </w:pPr>
      <w:r>
        <w:t xml:space="preserve">The benchmark contains nine model entries. Constant velocity extrapolates future positions from the latest short-term motion. Constant acceleration extends that assumption by estimating acceleration from the recent sequence. The Kalman-style constant-velocity model applies a filtering/smoothing view of the same physical assumption. Ordinary least squares and ridge least squares map the flattened history window to future displacements. LSTM, GRU, Transformer and TCN entries provide neural sequence baselines implemented with PyTorch (Paszke et al., 2019). Linear tooling uses the scientific Python stack, including scikit-learn where appropriate (Pedregosa et al., 2011).</w:t>
      </w:r>
    </w:p>
    <w:p>
      <w:pPr>
        <w:pStyle w:val="BodyText"/>
      </w:pPr>
      <w:r>
        <w:t xml:space="preserve">The model set is intentionally mixed. It is not a catalogue of every possible maritime predictor, and it is not designed to make a universal neural-model claim. It is designed to answer whether common baseline families survive a reproducible, metadata-rich, short-horizon AIS protocol. This is why the main comparison includes simple baselines even when they are not novel. In safety-related navigation research, a non-novel baseline can still be a novel contribution if it prevents unsupported claims about more complex systems.</w:t>
      </w:r>
    </w:p>
    <w:p>
      <w:pPr>
        <w:pStyle w:val="BodyText"/>
      </w:pPr>
      <w:r>
        <w:t xml:space="preserve">The primary trajectory metrics are average displacement error, final displacement error, RMSE and MAE. ADE is the mean Haversine distance between predicted and observed positions over the forecast horizon. FDE is the Haversine distance at the final forecast step. RMSE and MAE provide component-level local displacement summaries. The model ranking in the text is based on mean ADE, while the tables also report median ADE and empirical 95 percent ADE intervals to show the skew caused by difficult or anomalous windows.</w:t>
      </w:r>
    </w:p>
    <w:p>
      <w:pPr>
        <w:pStyle w:val="BodyText"/>
      </w:pPr>
      <w:r>
        <w:t xml:space="preserve">Mean ADE is useful for ranking, but it is not sufficient for navigation interpretation. A model can have a low median error and a high mean error if most windows are easy and a small number have very large errors. Such upper-tail cases matter because they may correspond to manoeuvres, low-speed drift, port approaches, sparse reporting or unusual regional geometry. The manuscript therefore reports mean, median and empirical intervals together. This is a deliberate guard against presenting a single attractive number as the full story.</w:t>
      </w:r>
    </w:p>
    <w:p>
      <w:pPr>
        <w:pStyle w:val="BodyText"/>
      </w:pPr>
      <w:r>
        <w:t xml:space="preserve">Paired comparisons are computed against constant velocity because CV is the main operationally meaningful reference. The statistical artefact includes paired t-tests, Wilcoxon tests and Bonferroni-corrected comparison counts. The paper does not overstate these tests. Because AIS errors are highly skewed, the mean and the median tell different stories. In particular, Kalman-CV has very low median ADE in both holdouts but still has large upper-tail errors, which explains why mean ADE remains in kilometres even though the median error is measured in metres.</w:t>
      </w:r>
    </w:p>
    <w:p>
      <w:pPr>
        <w:pStyle w:val="BodyText"/>
      </w:pPr>
      <w:r>
        <w:t xml:space="preserve">The modelling protocol also records neural tuning separately from final test claims. The neural proxy search provides reviewer transparency about the limited validation configurations explored, but final conclusions remain tied to the full-split test metrics. This separation matters because using test performance to tune neural models would undermine the benchmark. The present neural results are therefore best read as baseline outcomes under documented settings, not as a final word on neural maritime forecasting.</w:t>
      </w:r>
    </w:p>
    <w:bookmarkEnd w:id="17"/>
    <w:bookmarkStart w:id="18" w:name="Xe9530d0f79a43ac325a80de31453f6d39c53d9e"/>
    <w:p>
      <w:pPr>
        <w:pStyle w:val="Heading2"/>
      </w:pPr>
      <w:r>
        <w:t xml:space="preserve">5. GENERALISATION AND RISK-WARNING EVALUATION</w:t>
      </w:r>
    </w:p>
    <w:p>
      <w:pPr>
        <w:pStyle w:val="FirstParagraph"/>
      </w:pPr>
      <w:r>
        <w:t xml:space="preserve">Generalisation is evaluated using both temporal and vessel-disjoint holdouts. Temporal holdout is useful because a deployed predictor normally faces later windows than those used during training. Vessel-disjoint holdout is useful because it asks whether a model depends on learning idiosyncratic behaviour from vessels seen during training. The two tests are complementary; a model that looks acceptable under temporal evaluation may not transfer to unseen MMSI values.</w:t>
      </w:r>
    </w:p>
    <w:p>
      <w:pPr>
        <w:pStyle w:val="BodyText"/>
      </w:pPr>
      <w:r>
        <w:t xml:space="preserve">For downstream risk-warning evaluation, the benchmark selects AIS-derived encounter scenarios from the temporal test setting. The scenario builder scans the first 5,000 temporal-test samples, groups windows that share the same start time, and pairs vessels whose origin positions are within 3.0 nautical miles. The reported scenarios are paired-vessel cases rather than single-trajectory examples. For each pair, the observed future trajectories define the truth warning label: a warning is positive if the discrete minimum separation over the 15 one-minute future positions is no greater than 0.5 nautical miles. Predicted trajectories are processed with the same discrete CPA/TCPA calculation to obtain model-level warning labels.</w:t>
      </w:r>
    </w:p>
    <w:p>
      <w:pPr>
        <w:pStyle w:val="BodyText"/>
      </w:pPr>
      <w:r>
        <w:t xml:space="preserve">The discrete CPA/TCPA calculation deliberately matches the sampled forecast horizon rather than a continuous relative-motion formula. For each scenario and model, the comparison yields true positives, false positives, false negatives and true negatives. Lead-time error is computed when both observed and predicted futures cross the warning threshold, and CPA error is the absolute difference between predicted and observed minimum separation in nautical miles. The warning metrics are precision, recall, false-alarm rate, missed-warning rate, mean absolute lead-time error and mean absolute CPA error.</w:t>
      </w:r>
    </w:p>
    <w:p>
      <w:pPr>
        <w:pStyle w:val="BodyText"/>
      </w:pPr>
      <w:r>
        <w:t xml:space="preserve">This design allows the same trajectory outputs to be judged in a way that resembles operational decision support. Precision reflects the credibility of raised warnings, while recall reflects the ability to capture true close-approach cases. False-alarm rate is important because excessive alarms can reduce user trust, and missed-warning rate is important because missed close approaches are safety critical. CPA error adds a continuous measure that is easier to interpret in nautical miles.</w:t>
      </w:r>
    </w:p>
    <w:p>
      <w:pPr>
        <w:pStyle w:val="BodyText"/>
      </w:pPr>
      <w:r>
        <w:t xml:space="preserve">The risk-warning evaluation uses 2,000 scenarios from 5,000 evaluated samples. The search radius is 3.0 nautical miles, the warning threshold is 0.5 nautical miles and the truth warning count is 520. These choices produce an interpretable operational slice, but they are not a certification criterion. They should be read as a reproducible decision-support experiment.</w:t>
      </w:r>
    </w:p>
    <w:p>
      <w:pPr>
        <w:pStyle w:val="BodyText"/>
      </w:pPr>
      <w:r>
        <w:t xml:space="preserve">The warning threshold is intentionally fixed rather than optimised per model. Optimising a different threshold for every model could improve individual scores, but it would make the comparison less transparent. A fixed threshold gives reviewers a stable basis for interpreting the confusion matrices. Alternative thresholds are a reasonable future sensitivity study and can be added without changing the rest of the evidence pipeline.</w:t>
      </w:r>
    </w:p>
    <w:bookmarkEnd w:id="18"/>
    <w:bookmarkStart w:id="34" w:name="results"/>
    <w:p>
      <w:pPr>
        <w:pStyle w:val="Heading2"/>
      </w:pPr>
      <w:r>
        <w:t xml:space="preserve">6. RESULTS</w:t>
      </w:r>
    </w:p>
    <w:p>
      <w:pPr>
        <w:pStyle w:val="FirstParagraph"/>
      </w:pPr>
      <w:r>
        <w:t xml:space="preserve">Figure 2 reports the main trajectory-performance comparison. Kalman-CV is the best mean-ADE model in both split protocols. It achieves 1,759.7 m ADE and 2,704.5 m FDE on the temporal holdout, and 3,109.4 m ADE and 5,979.6 m FDE on the vessel-disjoint holdout. Constant velocity reaches 2,751.3 m temporal ADE and 9,553.5 m vessel-disjoint ADE. The gap between CV and Kalman-CV is larger under vessel-disjoint evaluation, suggesting that filtered motion estimates provide robustness when specific vessel identities are not seen during training.</w:t>
      </w:r>
    </w:p>
    <w:p>
      <w:pPr>
        <w:pStyle w:val="CaptionedFigure"/>
      </w:pPr>
      <w:r>
        <w:drawing>
          <wp:inline>
            <wp:extent cx="5334000" cy="2713218"/>
            <wp:effectExtent b="0" l="0" r="0" t="0"/>
            <wp:docPr descr="Figure 2. ADE comparison across temporal and vessel-disjoint holdouts. The log scale is used because neural and acceleration baselines have much larger errors than the strongest kinematic models." title="" id="20" name="Picture"/>
            <a:graphic>
              <a:graphicData uri="http://schemas.openxmlformats.org/drawingml/2006/picture">
                <pic:pic>
                  <pic:nvPicPr>
                    <pic:cNvPr descr="figures/jon_model_performance.png" id="21" name="Picture"/>
                    <pic:cNvPicPr>
                      <a:picLocks noChangeArrowheads="1" noChangeAspect="1"/>
                    </pic:cNvPicPr>
                  </pic:nvPicPr>
                  <pic:blipFill>
                    <a:blip r:embed="rId19"/>
                    <a:stretch>
                      <a:fillRect/>
                    </a:stretch>
                  </pic:blipFill>
                  <pic:spPr bwMode="auto">
                    <a:xfrm>
                      <a:off x="0" y="0"/>
                      <a:ext cx="5334000" cy="2713218"/>
                    </a:xfrm>
                    <a:prstGeom prst="rect">
                      <a:avLst/>
                    </a:prstGeom>
                    <a:noFill/>
                    <a:ln w="9525">
                      <a:noFill/>
                      <a:headEnd/>
                      <a:tailEnd/>
                    </a:ln>
                  </pic:spPr>
                </pic:pic>
              </a:graphicData>
            </a:graphic>
          </wp:inline>
        </w:drawing>
      </w:r>
    </w:p>
    <w:p>
      <w:pPr>
        <w:pStyle w:val="ImageCaption"/>
      </w:pPr>
      <w:r>
        <w:t xml:space="preserve">Figure 2. ADE comparison across temporal and vessel-disjoint holdouts. The log scale is used because neural and acceleration baselines have much larger errors than the strongest kinematic models.</w:t>
      </w:r>
    </w:p>
    <w:p>
      <w:pPr>
        <w:pStyle w:val="BodyText"/>
      </w:pPr>
      <w:r>
        <w:t xml:space="preserve">Table 2 gives the numerical trajectory results. The distinction between mean and median is important. For example, Kalman-CV has median ADE 8.2 m on the temporal holdout and 9.2 m on the vessel-disjoint holdout, while its mean ADE remains much larger. This pattern is consistent with many short windows being easy and a smaller number of windows being difficult due to manoeuvres, sparse/interpolated reporting, regional geometry or other traffic effects.</w:t>
      </w:r>
    </w:p>
    <w:p>
      <w:pPr>
        <w:pStyle w:val="BodyText"/>
      </w:pPr>
      <w:r>
        <w:t xml:space="preserve">Table 2. Trajectory-prediction metrics generated from the reported benchmark evidence package.</w:t>
      </w:r>
    </w:p>
    <w:tbl>
      <w:tblPr>
        <w:tblStyle w:val="Table"/>
        <w:tblW w:type="pct" w:w="5000"/>
        <w:tblLayout w:type="fixed"/>
        <w:tblLook w:firstRow="1" w:lastRow="0" w:firstColumn="0" w:lastColumn="0" w:noHBand="0" w:noVBand="0" w:val="0020"/>
      </w:tblPr>
      <w:tblGrid>
        <w:gridCol w:w="1080"/>
        <w:gridCol w:w="1080"/>
        <w:gridCol w:w="1440"/>
        <w:gridCol w:w="1440"/>
        <w:gridCol w:w="1440"/>
        <w:gridCol w:w="1440"/>
      </w:tblGrid>
      <w:tr>
        <w:trPr>
          <w:tblHeader w:val="on"/>
        </w:trPr>
        <w:tc>
          <w:tcPr/>
          <w:p>
            <w:pPr>
              <w:pStyle w:val="Compact"/>
            </w:pPr>
            <w:r>
              <w:t xml:space="preserve">Split</w:t>
            </w:r>
          </w:p>
        </w:tc>
        <w:tc>
          <w:tcPr/>
          <w:p>
            <w:pPr>
              <w:pStyle w:val="Compact"/>
            </w:pPr>
            <w:r>
              <w:t xml:space="preserve">Model</w:t>
            </w:r>
          </w:p>
        </w:tc>
        <w:tc>
          <w:tcPr/>
          <w:p>
            <w:pPr>
              <w:pStyle w:val="Compact"/>
              <w:jc w:val="right"/>
            </w:pPr>
            <w:r>
              <w:t xml:space="preserve">Mean ADE (m)</w:t>
            </w:r>
          </w:p>
        </w:tc>
        <w:tc>
          <w:tcPr/>
          <w:p>
            <w:pPr>
              <w:pStyle w:val="Compact"/>
              <w:jc w:val="right"/>
            </w:pPr>
            <w:r>
              <w:t xml:space="preserve">Median ADE (m)</w:t>
            </w:r>
          </w:p>
        </w:tc>
        <w:tc>
          <w:tcPr/>
          <w:p>
            <w:pPr>
              <w:pStyle w:val="Compact"/>
              <w:jc w:val="right"/>
            </w:pPr>
            <w:r>
              <w:t xml:space="preserve">95% ADE interval (m)</w:t>
            </w:r>
          </w:p>
        </w:tc>
        <w:tc>
          <w:tcPr/>
          <w:p>
            <w:pPr>
              <w:pStyle w:val="Compact"/>
              <w:jc w:val="right"/>
            </w:pPr>
            <w:r>
              <w:t xml:space="preserve">FDE (m)</w:t>
            </w:r>
          </w:p>
        </w:tc>
      </w:tr>
      <w:tr>
        <w:tc>
          <w:tcPr/>
          <w:p>
            <w:pPr>
              <w:pStyle w:val="Compact"/>
            </w:pPr>
            <w:r>
              <w:t xml:space="preserve">Temporal holdout</w:t>
            </w:r>
          </w:p>
        </w:tc>
        <w:tc>
          <w:tcPr/>
          <w:p>
            <w:pPr>
              <w:pStyle w:val="Compact"/>
            </w:pPr>
            <w:r>
              <w:t xml:space="preserve">Kalman-CV</w:t>
            </w:r>
          </w:p>
        </w:tc>
        <w:tc>
          <w:tcPr/>
          <w:p>
            <w:pPr>
              <w:pStyle w:val="Compact"/>
              <w:jc w:val="right"/>
            </w:pPr>
            <w:r>
              <w:t xml:space="preserve">1,759.7</w:t>
            </w:r>
          </w:p>
        </w:tc>
        <w:tc>
          <w:tcPr/>
          <w:p>
            <w:pPr>
              <w:pStyle w:val="Compact"/>
              <w:jc w:val="right"/>
            </w:pPr>
            <w:r>
              <w:t xml:space="preserve">8.2</w:t>
            </w:r>
          </w:p>
        </w:tc>
        <w:tc>
          <w:tcPr/>
          <w:p>
            <w:pPr>
              <w:pStyle w:val="Compact"/>
              <w:jc w:val="right"/>
            </w:pPr>
            <w:r>
              <w:t xml:space="preserve">0.6 to 5,673.6</w:t>
            </w:r>
          </w:p>
        </w:tc>
        <w:tc>
          <w:tcPr/>
          <w:p>
            <w:pPr>
              <w:pStyle w:val="Compact"/>
              <w:jc w:val="right"/>
            </w:pPr>
            <w:r>
              <w:t xml:space="preserve">2,704.5</w:t>
            </w:r>
          </w:p>
        </w:tc>
      </w:tr>
      <w:tr>
        <w:tc>
          <w:tcPr/>
          <w:p>
            <w:pPr>
              <w:pStyle w:val="Compact"/>
            </w:pPr>
            <w:r>
              <w:t xml:space="preserve">Temporal holdout</w:t>
            </w:r>
          </w:p>
        </w:tc>
        <w:tc>
          <w:tcPr/>
          <w:p>
            <w:pPr>
              <w:pStyle w:val="Compact"/>
            </w:pPr>
            <w:r>
              <w:t xml:space="preserve">CV</w:t>
            </w:r>
          </w:p>
        </w:tc>
        <w:tc>
          <w:tcPr/>
          <w:p>
            <w:pPr>
              <w:pStyle w:val="Compact"/>
              <w:jc w:val="right"/>
            </w:pPr>
            <w:r>
              <w:t xml:space="preserve">2,751.3</w:t>
            </w:r>
          </w:p>
        </w:tc>
        <w:tc>
          <w:tcPr/>
          <w:p>
            <w:pPr>
              <w:pStyle w:val="Compact"/>
              <w:jc w:val="right"/>
            </w:pPr>
            <w:r>
              <w:t xml:space="preserve">20.5</w:t>
            </w:r>
          </w:p>
        </w:tc>
        <w:tc>
          <w:tcPr/>
          <w:p>
            <w:pPr>
              <w:pStyle w:val="Compact"/>
              <w:jc w:val="right"/>
            </w:pPr>
            <w:r>
              <w:t xml:space="preserve">0.7 to 5,357.1</w:t>
            </w:r>
          </w:p>
        </w:tc>
        <w:tc>
          <w:tcPr/>
          <w:p>
            <w:pPr>
              <w:pStyle w:val="Compact"/>
              <w:jc w:val="right"/>
            </w:pPr>
            <w:r>
              <w:t xml:space="preserve">4,469.8</w:t>
            </w:r>
          </w:p>
        </w:tc>
      </w:tr>
      <w:tr>
        <w:tc>
          <w:tcPr/>
          <w:p>
            <w:pPr>
              <w:pStyle w:val="Compact"/>
            </w:pPr>
            <w:r>
              <w:t xml:space="preserve">Temporal holdout</w:t>
            </w:r>
          </w:p>
        </w:tc>
        <w:tc>
          <w:tcPr/>
          <w:p>
            <w:pPr>
              <w:pStyle w:val="Compact"/>
            </w:pPr>
            <w:r>
              <w:t xml:space="preserve">Ridge</w:t>
            </w:r>
          </w:p>
        </w:tc>
        <w:tc>
          <w:tcPr/>
          <w:p>
            <w:pPr>
              <w:pStyle w:val="Compact"/>
              <w:jc w:val="right"/>
            </w:pPr>
            <w:r>
              <w:t xml:space="preserve">3,141.7</w:t>
            </w:r>
          </w:p>
        </w:tc>
        <w:tc>
          <w:tcPr/>
          <w:p>
            <w:pPr>
              <w:pStyle w:val="Compact"/>
              <w:jc w:val="right"/>
            </w:pPr>
            <w:r>
              <w:t xml:space="preserve">1,563.1</w:t>
            </w:r>
          </w:p>
        </w:tc>
        <w:tc>
          <w:tcPr/>
          <w:p>
            <w:pPr>
              <w:pStyle w:val="Compact"/>
              <w:jc w:val="right"/>
            </w:pPr>
            <w:r>
              <w:t xml:space="preserve">451.4 to 11,189.3</w:t>
            </w:r>
          </w:p>
        </w:tc>
        <w:tc>
          <w:tcPr/>
          <w:p>
            <w:pPr>
              <w:pStyle w:val="Compact"/>
              <w:jc w:val="right"/>
            </w:pPr>
            <w:r>
              <w:t xml:space="preserve">5,079.5</w:t>
            </w:r>
          </w:p>
        </w:tc>
      </w:tr>
      <w:tr>
        <w:tc>
          <w:tcPr/>
          <w:p>
            <w:pPr>
              <w:pStyle w:val="Compact"/>
            </w:pPr>
            <w:r>
              <w:t xml:space="preserve">Temporal holdout</w:t>
            </w:r>
          </w:p>
        </w:tc>
        <w:tc>
          <w:tcPr/>
          <w:p>
            <w:pPr>
              <w:pStyle w:val="Compact"/>
            </w:pPr>
            <w:r>
              <w:t xml:space="preserve">OLS</w:t>
            </w:r>
          </w:p>
        </w:tc>
        <w:tc>
          <w:tcPr/>
          <w:p>
            <w:pPr>
              <w:pStyle w:val="Compact"/>
              <w:jc w:val="right"/>
            </w:pPr>
            <w:r>
              <w:t xml:space="preserve">3,052.3</w:t>
            </w:r>
          </w:p>
        </w:tc>
        <w:tc>
          <w:tcPr/>
          <w:p>
            <w:pPr>
              <w:pStyle w:val="Compact"/>
              <w:jc w:val="right"/>
            </w:pPr>
            <w:r>
              <w:t xml:space="preserve">1,439.3</w:t>
            </w:r>
          </w:p>
        </w:tc>
        <w:tc>
          <w:tcPr/>
          <w:p>
            <w:pPr>
              <w:pStyle w:val="Compact"/>
              <w:jc w:val="right"/>
            </w:pPr>
            <w:r>
              <w:t xml:space="preserve">426.1 to 11,320.0</w:t>
            </w:r>
          </w:p>
        </w:tc>
        <w:tc>
          <w:tcPr/>
          <w:p>
            <w:pPr>
              <w:pStyle w:val="Compact"/>
              <w:jc w:val="right"/>
            </w:pPr>
            <w:r>
              <w:t xml:space="preserve">4,908.7</w:t>
            </w:r>
          </w:p>
        </w:tc>
      </w:tr>
      <w:tr>
        <w:tc>
          <w:tcPr/>
          <w:p>
            <w:pPr>
              <w:pStyle w:val="Compact"/>
            </w:pPr>
            <w:r>
              <w:t xml:space="preserve">Temporal holdout</w:t>
            </w:r>
          </w:p>
        </w:tc>
        <w:tc>
          <w:tcPr/>
          <w:p>
            <w:pPr>
              <w:pStyle w:val="Compact"/>
            </w:pPr>
            <w:r>
              <w:t xml:space="preserve">GRU</w:t>
            </w:r>
          </w:p>
        </w:tc>
        <w:tc>
          <w:tcPr/>
          <w:p>
            <w:pPr>
              <w:pStyle w:val="Compact"/>
              <w:jc w:val="right"/>
            </w:pPr>
            <w:r>
              <w:t xml:space="preserve">25,215.5</w:t>
            </w:r>
          </w:p>
        </w:tc>
        <w:tc>
          <w:tcPr/>
          <w:p>
            <w:pPr>
              <w:pStyle w:val="Compact"/>
              <w:jc w:val="right"/>
            </w:pPr>
            <w:r>
              <w:t xml:space="preserve">19,597.5</w:t>
            </w:r>
          </w:p>
        </w:tc>
        <w:tc>
          <w:tcPr/>
          <w:p>
            <w:pPr>
              <w:pStyle w:val="Compact"/>
              <w:jc w:val="right"/>
            </w:pPr>
            <w:r>
              <w:t xml:space="preserve">3,979.9 to 92,526.6</w:t>
            </w:r>
          </w:p>
        </w:tc>
        <w:tc>
          <w:tcPr/>
          <w:p>
            <w:pPr>
              <w:pStyle w:val="Compact"/>
              <w:jc w:val="right"/>
            </w:pPr>
            <w:r>
              <w:t xml:space="preserve">25,571.8</w:t>
            </w:r>
          </w:p>
        </w:tc>
      </w:tr>
      <w:tr>
        <w:tc>
          <w:tcPr/>
          <w:p>
            <w:pPr>
              <w:pStyle w:val="Compact"/>
            </w:pPr>
            <w:r>
              <w:t xml:space="preserve">Temporal holdout</w:t>
            </w:r>
          </w:p>
        </w:tc>
        <w:tc>
          <w:tcPr/>
          <w:p>
            <w:pPr>
              <w:pStyle w:val="Compact"/>
            </w:pPr>
            <w:r>
              <w:t xml:space="preserve">LSTM</w:t>
            </w:r>
          </w:p>
        </w:tc>
        <w:tc>
          <w:tcPr/>
          <w:p>
            <w:pPr>
              <w:pStyle w:val="Compact"/>
              <w:jc w:val="right"/>
            </w:pPr>
            <w:r>
              <w:t xml:space="preserve">36,039.2</w:t>
            </w:r>
          </w:p>
        </w:tc>
        <w:tc>
          <w:tcPr/>
          <w:p>
            <w:pPr>
              <w:pStyle w:val="Compact"/>
              <w:jc w:val="right"/>
            </w:pPr>
            <w:r>
              <w:t xml:space="preserve">25,660.5</w:t>
            </w:r>
          </w:p>
        </w:tc>
        <w:tc>
          <w:tcPr/>
          <w:p>
            <w:pPr>
              <w:pStyle w:val="Compact"/>
              <w:jc w:val="right"/>
            </w:pPr>
            <w:r>
              <w:t xml:space="preserve">4,365.6 to 116,019.1</w:t>
            </w:r>
          </w:p>
        </w:tc>
        <w:tc>
          <w:tcPr/>
          <w:p>
            <w:pPr>
              <w:pStyle w:val="Compact"/>
              <w:jc w:val="right"/>
            </w:pPr>
            <w:r>
              <w:t xml:space="preserve">36,116.8</w:t>
            </w:r>
          </w:p>
        </w:tc>
      </w:tr>
      <w:tr>
        <w:tc>
          <w:tcPr/>
          <w:p>
            <w:pPr>
              <w:pStyle w:val="Compact"/>
            </w:pPr>
            <w:r>
              <w:t xml:space="preserve">Temporal holdout</w:t>
            </w:r>
          </w:p>
        </w:tc>
        <w:tc>
          <w:tcPr/>
          <w:p>
            <w:pPr>
              <w:pStyle w:val="Compact"/>
            </w:pPr>
            <w:r>
              <w:t xml:space="preserve">TCN</w:t>
            </w:r>
          </w:p>
        </w:tc>
        <w:tc>
          <w:tcPr/>
          <w:p>
            <w:pPr>
              <w:pStyle w:val="Compact"/>
              <w:jc w:val="right"/>
            </w:pPr>
            <w:r>
              <w:t xml:space="preserve">47,095.5</w:t>
            </w:r>
          </w:p>
        </w:tc>
        <w:tc>
          <w:tcPr/>
          <w:p>
            <w:pPr>
              <w:pStyle w:val="Compact"/>
              <w:jc w:val="right"/>
            </w:pPr>
            <w:r>
              <w:t xml:space="preserve">32,265.2</w:t>
            </w:r>
          </w:p>
        </w:tc>
        <w:tc>
          <w:tcPr/>
          <w:p>
            <w:pPr>
              <w:pStyle w:val="Compact"/>
              <w:jc w:val="right"/>
            </w:pPr>
            <w:r>
              <w:t xml:space="preserve">9,361.0 to 149,135.1</w:t>
            </w:r>
          </w:p>
        </w:tc>
        <w:tc>
          <w:tcPr/>
          <w:p>
            <w:pPr>
              <w:pStyle w:val="Compact"/>
              <w:jc w:val="right"/>
            </w:pPr>
            <w:r>
              <w:t xml:space="preserve">47,078.0</w:t>
            </w:r>
          </w:p>
        </w:tc>
      </w:tr>
      <w:tr>
        <w:tc>
          <w:tcPr/>
          <w:p>
            <w:pPr>
              <w:pStyle w:val="Compact"/>
            </w:pPr>
            <w:r>
              <w:t xml:space="preserve">Temporal holdout</w:t>
            </w:r>
          </w:p>
        </w:tc>
        <w:tc>
          <w:tcPr/>
          <w:p>
            <w:pPr>
              <w:pStyle w:val="Compact"/>
            </w:pPr>
            <w:r>
              <w:t xml:space="preserve">Transformer</w:t>
            </w:r>
          </w:p>
        </w:tc>
        <w:tc>
          <w:tcPr/>
          <w:p>
            <w:pPr>
              <w:pStyle w:val="Compact"/>
              <w:jc w:val="right"/>
            </w:pPr>
            <w:r>
              <w:t xml:space="preserve">56,310.7</w:t>
            </w:r>
          </w:p>
        </w:tc>
        <w:tc>
          <w:tcPr/>
          <w:p>
            <w:pPr>
              <w:pStyle w:val="Compact"/>
              <w:jc w:val="right"/>
            </w:pPr>
            <w:r>
              <w:t xml:space="preserve">35,643.0</w:t>
            </w:r>
          </w:p>
        </w:tc>
        <w:tc>
          <w:tcPr/>
          <w:p>
            <w:pPr>
              <w:pStyle w:val="Compact"/>
              <w:jc w:val="right"/>
            </w:pPr>
            <w:r>
              <w:t xml:space="preserve">11,299.8 to 210,486.8</w:t>
            </w:r>
          </w:p>
        </w:tc>
        <w:tc>
          <w:tcPr/>
          <w:p>
            <w:pPr>
              <w:pStyle w:val="Compact"/>
              <w:jc w:val="right"/>
            </w:pPr>
            <w:r>
              <w:t xml:space="preserve">55,923.5</w:t>
            </w:r>
          </w:p>
        </w:tc>
      </w:tr>
      <w:tr>
        <w:tc>
          <w:tcPr/>
          <w:p>
            <w:pPr>
              <w:pStyle w:val="Compact"/>
            </w:pPr>
            <w:r>
              <w:t xml:space="preserve">Temporal holdout</w:t>
            </w:r>
          </w:p>
        </w:tc>
        <w:tc>
          <w:tcPr/>
          <w:p>
            <w:pPr>
              <w:pStyle w:val="Compact"/>
            </w:pPr>
            <w:r>
              <w:t xml:space="preserve">CA</w:t>
            </w:r>
          </w:p>
        </w:tc>
        <w:tc>
          <w:tcPr/>
          <w:p>
            <w:pPr>
              <w:pStyle w:val="Compact"/>
              <w:jc w:val="right"/>
            </w:pPr>
            <w:r>
              <w:t xml:space="preserve">35,076.6</w:t>
            </w:r>
          </w:p>
        </w:tc>
        <w:tc>
          <w:tcPr/>
          <w:p>
            <w:pPr>
              <w:pStyle w:val="Compact"/>
              <w:jc w:val="right"/>
            </w:pPr>
            <w:r>
              <w:t xml:space="preserve">166.6</w:t>
            </w:r>
          </w:p>
        </w:tc>
        <w:tc>
          <w:tcPr/>
          <w:p>
            <w:pPr>
              <w:pStyle w:val="Compact"/>
              <w:jc w:val="right"/>
            </w:pPr>
            <w:r>
              <w:t xml:space="preserve">0.9 to 64,305.6</w:t>
            </w:r>
          </w:p>
        </w:tc>
        <w:tc>
          <w:tcPr/>
          <w:p>
            <w:pPr>
              <w:pStyle w:val="Compact"/>
              <w:jc w:val="right"/>
            </w:pPr>
            <w:r>
              <w:t xml:space="preserve">76,360.6</w:t>
            </w:r>
          </w:p>
        </w:tc>
      </w:tr>
      <w:tr>
        <w:tc>
          <w:tcPr/>
          <w:p>
            <w:pPr>
              <w:pStyle w:val="Compact"/>
            </w:pPr>
            <w:r>
              <w:t xml:space="preserve">Vessel-disjoint holdout</w:t>
            </w:r>
          </w:p>
        </w:tc>
        <w:tc>
          <w:tcPr/>
          <w:p>
            <w:pPr>
              <w:pStyle w:val="Compact"/>
            </w:pPr>
            <w:r>
              <w:t xml:space="preserve">Kalman-CV</w:t>
            </w:r>
          </w:p>
        </w:tc>
        <w:tc>
          <w:tcPr/>
          <w:p>
            <w:pPr>
              <w:pStyle w:val="Compact"/>
              <w:jc w:val="right"/>
            </w:pPr>
            <w:r>
              <w:t xml:space="preserve">3,109.4</w:t>
            </w:r>
          </w:p>
        </w:tc>
        <w:tc>
          <w:tcPr/>
          <w:p>
            <w:pPr>
              <w:pStyle w:val="Compact"/>
              <w:jc w:val="right"/>
            </w:pPr>
            <w:r>
              <w:t xml:space="preserve">9.2</w:t>
            </w:r>
          </w:p>
        </w:tc>
        <w:tc>
          <w:tcPr/>
          <w:p>
            <w:pPr>
              <w:pStyle w:val="Compact"/>
              <w:jc w:val="right"/>
            </w:pPr>
            <w:r>
              <w:t xml:space="preserve">0.6 to 11,946.7</w:t>
            </w:r>
          </w:p>
        </w:tc>
        <w:tc>
          <w:tcPr/>
          <w:p>
            <w:pPr>
              <w:pStyle w:val="Compact"/>
              <w:jc w:val="right"/>
            </w:pPr>
            <w:r>
              <w:t xml:space="preserve">5,979.6</w:t>
            </w:r>
          </w:p>
        </w:tc>
      </w:tr>
      <w:tr>
        <w:tc>
          <w:tcPr/>
          <w:p>
            <w:pPr>
              <w:pStyle w:val="Compact"/>
            </w:pPr>
            <w:r>
              <w:t xml:space="preserve">Vessel-disjoint holdout</w:t>
            </w:r>
          </w:p>
        </w:tc>
        <w:tc>
          <w:tcPr/>
          <w:p>
            <w:pPr>
              <w:pStyle w:val="Compact"/>
            </w:pPr>
            <w:r>
              <w:t xml:space="preserve">CV</w:t>
            </w:r>
          </w:p>
        </w:tc>
        <w:tc>
          <w:tcPr/>
          <w:p>
            <w:pPr>
              <w:pStyle w:val="Compact"/>
              <w:jc w:val="right"/>
            </w:pPr>
            <w:r>
              <w:t xml:space="preserve">9,553.5</w:t>
            </w:r>
          </w:p>
        </w:tc>
        <w:tc>
          <w:tcPr/>
          <w:p>
            <w:pPr>
              <w:pStyle w:val="Compact"/>
              <w:jc w:val="right"/>
            </w:pPr>
            <w:r>
              <w:t xml:space="preserve">22.8</w:t>
            </w:r>
          </w:p>
        </w:tc>
        <w:tc>
          <w:tcPr/>
          <w:p>
            <w:pPr>
              <w:pStyle w:val="Compact"/>
              <w:jc w:val="right"/>
            </w:pPr>
            <w:r>
              <w:t xml:space="preserve">0.8 to 12,053.7</w:t>
            </w:r>
          </w:p>
        </w:tc>
        <w:tc>
          <w:tcPr/>
          <w:p>
            <w:pPr>
              <w:pStyle w:val="Compact"/>
              <w:jc w:val="right"/>
            </w:pPr>
            <w:r>
              <w:t xml:space="preserve">17,014.2</w:t>
            </w:r>
          </w:p>
        </w:tc>
      </w:tr>
      <w:tr>
        <w:tc>
          <w:tcPr/>
          <w:p>
            <w:pPr>
              <w:pStyle w:val="Compact"/>
            </w:pPr>
            <w:r>
              <w:t xml:space="preserve">Vessel-disjoint holdout</w:t>
            </w:r>
          </w:p>
        </w:tc>
        <w:tc>
          <w:tcPr/>
          <w:p>
            <w:pPr>
              <w:pStyle w:val="Compact"/>
            </w:pPr>
            <w:r>
              <w:t xml:space="preserve">Ridge</w:t>
            </w:r>
          </w:p>
        </w:tc>
        <w:tc>
          <w:tcPr/>
          <w:p>
            <w:pPr>
              <w:pStyle w:val="Compact"/>
              <w:jc w:val="right"/>
            </w:pPr>
            <w:r>
              <w:t xml:space="preserve">3,446.9</w:t>
            </w:r>
          </w:p>
        </w:tc>
        <w:tc>
          <w:tcPr/>
          <w:p>
            <w:pPr>
              <w:pStyle w:val="Compact"/>
              <w:jc w:val="right"/>
            </w:pPr>
            <w:r>
              <w:t xml:space="preserve">1,277.5</w:t>
            </w:r>
          </w:p>
        </w:tc>
        <w:tc>
          <w:tcPr/>
          <w:p>
            <w:pPr>
              <w:pStyle w:val="Compact"/>
              <w:jc w:val="right"/>
            </w:pPr>
            <w:r>
              <w:t xml:space="preserve">319.1 to 14,385.8</w:t>
            </w:r>
          </w:p>
        </w:tc>
        <w:tc>
          <w:tcPr/>
          <w:p>
            <w:pPr>
              <w:pStyle w:val="Compact"/>
              <w:jc w:val="right"/>
            </w:pPr>
            <w:r>
              <w:t xml:space="preserve">6,463.4</w:t>
            </w:r>
          </w:p>
        </w:tc>
      </w:tr>
      <w:tr>
        <w:tc>
          <w:tcPr/>
          <w:p>
            <w:pPr>
              <w:pStyle w:val="Compact"/>
            </w:pPr>
            <w:r>
              <w:t xml:space="preserve">Vessel-disjoint holdout</w:t>
            </w:r>
          </w:p>
        </w:tc>
        <w:tc>
          <w:tcPr/>
          <w:p>
            <w:pPr>
              <w:pStyle w:val="Compact"/>
            </w:pPr>
            <w:r>
              <w:t xml:space="preserve">OLS</w:t>
            </w:r>
          </w:p>
        </w:tc>
        <w:tc>
          <w:tcPr/>
          <w:p>
            <w:pPr>
              <w:pStyle w:val="Compact"/>
              <w:jc w:val="right"/>
            </w:pPr>
            <w:r>
              <w:t xml:space="preserve">8,113.3</w:t>
            </w:r>
          </w:p>
        </w:tc>
        <w:tc>
          <w:tcPr/>
          <w:p>
            <w:pPr>
              <w:pStyle w:val="Compact"/>
              <w:jc w:val="right"/>
            </w:pPr>
            <w:r>
              <w:t xml:space="preserve">930.0</w:t>
            </w:r>
          </w:p>
        </w:tc>
        <w:tc>
          <w:tcPr/>
          <w:p>
            <w:pPr>
              <w:pStyle w:val="Compact"/>
              <w:jc w:val="right"/>
            </w:pPr>
            <w:r>
              <w:t xml:space="preserve">261.2 to 12,478.9</w:t>
            </w:r>
          </w:p>
        </w:tc>
        <w:tc>
          <w:tcPr/>
          <w:p>
            <w:pPr>
              <w:pStyle w:val="Compact"/>
              <w:jc w:val="right"/>
            </w:pPr>
            <w:r>
              <w:t xml:space="preserve">14,869.8</w:t>
            </w:r>
          </w:p>
        </w:tc>
      </w:tr>
      <w:tr>
        <w:tc>
          <w:tcPr/>
          <w:p>
            <w:pPr>
              <w:pStyle w:val="Compact"/>
            </w:pPr>
            <w:r>
              <w:t xml:space="preserve">Vessel-disjoint holdout</w:t>
            </w:r>
          </w:p>
        </w:tc>
        <w:tc>
          <w:tcPr/>
          <w:p>
            <w:pPr>
              <w:pStyle w:val="Compact"/>
            </w:pPr>
            <w:r>
              <w:t xml:space="preserve">GRU</w:t>
            </w:r>
          </w:p>
        </w:tc>
        <w:tc>
          <w:tcPr/>
          <w:p>
            <w:pPr>
              <w:pStyle w:val="Compact"/>
              <w:jc w:val="right"/>
            </w:pPr>
            <w:r>
              <w:t xml:space="preserve">23,989.0</w:t>
            </w:r>
          </w:p>
        </w:tc>
        <w:tc>
          <w:tcPr/>
          <w:p>
            <w:pPr>
              <w:pStyle w:val="Compact"/>
              <w:jc w:val="right"/>
            </w:pPr>
            <w:r>
              <w:t xml:space="preserve">19,508.3</w:t>
            </w:r>
          </w:p>
        </w:tc>
        <w:tc>
          <w:tcPr/>
          <w:p>
            <w:pPr>
              <w:pStyle w:val="Compact"/>
              <w:jc w:val="right"/>
            </w:pPr>
            <w:r>
              <w:t xml:space="preserve">5,810.3 to 67,283.9</w:t>
            </w:r>
          </w:p>
        </w:tc>
        <w:tc>
          <w:tcPr/>
          <w:p>
            <w:pPr>
              <w:pStyle w:val="Compact"/>
              <w:jc w:val="right"/>
            </w:pPr>
            <w:r>
              <w:t xml:space="preserve">24,569.4</w:t>
            </w:r>
          </w:p>
        </w:tc>
      </w:tr>
      <w:tr>
        <w:tc>
          <w:tcPr/>
          <w:p>
            <w:pPr>
              <w:pStyle w:val="Compact"/>
            </w:pPr>
            <w:r>
              <w:t xml:space="preserve">Vessel-disjoint holdout</w:t>
            </w:r>
          </w:p>
        </w:tc>
        <w:tc>
          <w:tcPr/>
          <w:p>
            <w:pPr>
              <w:pStyle w:val="Compact"/>
            </w:pPr>
            <w:r>
              <w:t xml:space="preserve">LSTM</w:t>
            </w:r>
          </w:p>
        </w:tc>
        <w:tc>
          <w:tcPr/>
          <w:p>
            <w:pPr>
              <w:pStyle w:val="Compact"/>
              <w:jc w:val="right"/>
            </w:pPr>
            <w:r>
              <w:t xml:space="preserve">51,010.6</w:t>
            </w:r>
          </w:p>
        </w:tc>
        <w:tc>
          <w:tcPr/>
          <w:p>
            <w:pPr>
              <w:pStyle w:val="Compact"/>
              <w:jc w:val="right"/>
            </w:pPr>
            <w:r>
              <w:t xml:space="preserve">35,421.3</w:t>
            </w:r>
          </w:p>
        </w:tc>
        <w:tc>
          <w:tcPr/>
          <w:p>
            <w:pPr>
              <w:pStyle w:val="Compact"/>
              <w:jc w:val="right"/>
            </w:pPr>
            <w:r>
              <w:t xml:space="preserve">8,462.8 to 151,738.0</w:t>
            </w:r>
          </w:p>
        </w:tc>
        <w:tc>
          <w:tcPr/>
          <w:p>
            <w:pPr>
              <w:pStyle w:val="Compact"/>
              <w:jc w:val="right"/>
            </w:pPr>
            <w:r>
              <w:t xml:space="preserve">50,890.1</w:t>
            </w:r>
          </w:p>
        </w:tc>
      </w:tr>
      <w:tr>
        <w:tc>
          <w:tcPr/>
          <w:p>
            <w:pPr>
              <w:pStyle w:val="Compact"/>
            </w:pPr>
            <w:r>
              <w:t xml:space="preserve">Vessel-disjoint holdout</w:t>
            </w:r>
          </w:p>
        </w:tc>
        <w:tc>
          <w:tcPr/>
          <w:p>
            <w:pPr>
              <w:pStyle w:val="Compact"/>
            </w:pPr>
            <w:r>
              <w:t xml:space="preserve">TCN</w:t>
            </w:r>
          </w:p>
        </w:tc>
        <w:tc>
          <w:tcPr/>
          <w:p>
            <w:pPr>
              <w:pStyle w:val="Compact"/>
              <w:jc w:val="right"/>
            </w:pPr>
            <w:r>
              <w:t xml:space="preserve">32,833.1</w:t>
            </w:r>
          </w:p>
        </w:tc>
        <w:tc>
          <w:tcPr/>
          <w:p>
            <w:pPr>
              <w:pStyle w:val="Compact"/>
              <w:jc w:val="right"/>
            </w:pPr>
            <w:r>
              <w:t xml:space="preserve">24,902.1</w:t>
            </w:r>
          </w:p>
        </w:tc>
        <w:tc>
          <w:tcPr/>
          <w:p>
            <w:pPr>
              <w:pStyle w:val="Compact"/>
              <w:jc w:val="right"/>
            </w:pPr>
            <w:r>
              <w:t xml:space="preserve">4,013.2 to 95,171.4</w:t>
            </w:r>
          </w:p>
        </w:tc>
        <w:tc>
          <w:tcPr/>
          <w:p>
            <w:pPr>
              <w:pStyle w:val="Compact"/>
              <w:jc w:val="right"/>
            </w:pPr>
            <w:r>
              <w:t xml:space="preserve">34,379.1</w:t>
            </w:r>
          </w:p>
        </w:tc>
      </w:tr>
      <w:tr>
        <w:tc>
          <w:tcPr/>
          <w:p>
            <w:pPr>
              <w:pStyle w:val="Compact"/>
            </w:pPr>
            <w:r>
              <w:t xml:space="preserve">Vessel-disjoint holdout</w:t>
            </w:r>
          </w:p>
        </w:tc>
        <w:tc>
          <w:tcPr/>
          <w:p>
            <w:pPr>
              <w:pStyle w:val="Compact"/>
            </w:pPr>
            <w:r>
              <w:t xml:space="preserve">Transformer</w:t>
            </w:r>
          </w:p>
        </w:tc>
        <w:tc>
          <w:tcPr/>
          <w:p>
            <w:pPr>
              <w:pStyle w:val="Compact"/>
              <w:jc w:val="right"/>
            </w:pPr>
            <w:r>
              <w:t xml:space="preserve">47,559.1</w:t>
            </w:r>
          </w:p>
        </w:tc>
        <w:tc>
          <w:tcPr/>
          <w:p>
            <w:pPr>
              <w:pStyle w:val="Compact"/>
              <w:jc w:val="right"/>
            </w:pPr>
            <w:r>
              <w:t xml:space="preserve">33,691.0</w:t>
            </w:r>
          </w:p>
        </w:tc>
        <w:tc>
          <w:tcPr/>
          <w:p>
            <w:pPr>
              <w:pStyle w:val="Compact"/>
              <w:jc w:val="right"/>
            </w:pPr>
            <w:r>
              <w:t xml:space="preserve">10,991.1 to 138,971.6</w:t>
            </w:r>
          </w:p>
        </w:tc>
        <w:tc>
          <w:tcPr/>
          <w:p>
            <w:pPr>
              <w:pStyle w:val="Compact"/>
              <w:jc w:val="right"/>
            </w:pPr>
            <w:r>
              <w:t xml:space="preserve">45,907.0</w:t>
            </w:r>
          </w:p>
        </w:tc>
      </w:tr>
      <w:tr>
        <w:tc>
          <w:tcPr/>
          <w:p>
            <w:pPr>
              <w:pStyle w:val="Compact"/>
            </w:pPr>
            <w:r>
              <w:t xml:space="preserve">Vessel-disjoint holdout</w:t>
            </w:r>
          </w:p>
        </w:tc>
        <w:tc>
          <w:tcPr/>
          <w:p>
            <w:pPr>
              <w:pStyle w:val="Compact"/>
            </w:pPr>
            <w:r>
              <w:t xml:space="preserve">CA</w:t>
            </w:r>
          </w:p>
        </w:tc>
        <w:tc>
          <w:tcPr/>
          <w:p>
            <w:pPr>
              <w:pStyle w:val="Compact"/>
              <w:jc w:val="right"/>
            </w:pPr>
            <w:r>
              <w:t xml:space="preserve">36,237.1</w:t>
            </w:r>
          </w:p>
        </w:tc>
        <w:tc>
          <w:tcPr/>
          <w:p>
            <w:pPr>
              <w:pStyle w:val="Compact"/>
              <w:jc w:val="right"/>
            </w:pPr>
            <w:r>
              <w:t xml:space="preserve">175.1</w:t>
            </w:r>
          </w:p>
        </w:tc>
        <w:tc>
          <w:tcPr/>
          <w:p>
            <w:pPr>
              <w:pStyle w:val="Compact"/>
              <w:jc w:val="right"/>
            </w:pPr>
            <w:r>
              <w:t xml:space="preserve">1.0 to 37,008.8</w:t>
            </w:r>
          </w:p>
        </w:tc>
        <w:tc>
          <w:tcPr/>
          <w:p>
            <w:pPr>
              <w:pStyle w:val="Compact"/>
              <w:jc w:val="right"/>
            </w:pPr>
            <w:r>
              <w:t xml:space="preserve">67,988.2</w:t>
            </w:r>
          </w:p>
        </w:tc>
      </w:tr>
    </w:tbl>
    <w:p>
      <w:pPr>
        <w:pStyle w:val="BodyText"/>
      </w:pPr>
      <w:r>
        <w:t xml:space="preserve">Table 3 expands this point for the strongest kinematic and linear baselines. The P99 values are much larger than the medians, so the kilometre-scale means are driven by a small but important tail of difficult windows. The 1 percent trimmed means are far lower than the untrimmed means, which supports interpreting the aggregate results as a mixture of many easy short-horizon cases and a small set of manoeuvre, reporting, interpolation or regional edge cases.</w:t>
      </w:r>
    </w:p>
    <w:p>
      <w:pPr>
        <w:pStyle w:val="BodyText"/>
      </w:pPr>
      <w:r>
        <w:t xml:space="preserve">Table 3. Tail-error diagnostics for selected baselines.</w:t>
      </w:r>
    </w:p>
    <w:tbl>
      <w:tblPr>
        <w:tblStyle w:val="Table"/>
        <w:tblW w:type="pct" w:w="5000"/>
        <w:tblLayout w:type="fixed"/>
        <w:tblLook w:firstRow="1" w:lastRow="0" w:firstColumn="0" w:lastColumn="0" w:noHBand="0" w:noVBand="0" w:val="0020"/>
      </w:tblPr>
      <w:tblGrid>
        <w:gridCol w:w="792"/>
        <w:gridCol w:w="792"/>
        <w:gridCol w:w="1056"/>
        <w:gridCol w:w="1056"/>
        <w:gridCol w:w="1056"/>
        <w:gridCol w:w="1056"/>
        <w:gridCol w:w="1056"/>
        <w:gridCol w:w="1056"/>
      </w:tblGrid>
      <w:tr>
        <w:trPr>
          <w:tblHeader w:val="on"/>
        </w:trPr>
        <w:tc>
          <w:tcPr/>
          <w:p>
            <w:pPr>
              <w:pStyle w:val="Compact"/>
            </w:pPr>
            <w:r>
              <w:t xml:space="preserve">Split</w:t>
            </w:r>
          </w:p>
        </w:tc>
        <w:tc>
          <w:tcPr/>
          <w:p>
            <w:pPr>
              <w:pStyle w:val="Compact"/>
            </w:pPr>
            <w:r>
              <w:t xml:space="preserve">Model</w:t>
            </w:r>
          </w:p>
        </w:tc>
        <w:tc>
          <w:tcPr/>
          <w:p>
            <w:pPr>
              <w:pStyle w:val="Compact"/>
              <w:jc w:val="right"/>
            </w:pPr>
            <w:r>
              <w:t xml:space="preserve">P50 ADE</w:t>
            </w:r>
          </w:p>
        </w:tc>
        <w:tc>
          <w:tcPr/>
          <w:p>
            <w:pPr>
              <w:pStyle w:val="Compact"/>
              <w:jc w:val="right"/>
            </w:pPr>
            <w:r>
              <w:t xml:space="preserve">P90 ADE</w:t>
            </w:r>
          </w:p>
        </w:tc>
        <w:tc>
          <w:tcPr/>
          <w:p>
            <w:pPr>
              <w:pStyle w:val="Compact"/>
              <w:jc w:val="right"/>
            </w:pPr>
            <w:r>
              <w:t xml:space="preserve">P95 ADE</w:t>
            </w:r>
          </w:p>
        </w:tc>
        <w:tc>
          <w:tcPr/>
          <w:p>
            <w:pPr>
              <w:pStyle w:val="Compact"/>
              <w:jc w:val="right"/>
            </w:pPr>
            <w:r>
              <w:t xml:space="preserve">P99 ADE</w:t>
            </w:r>
          </w:p>
        </w:tc>
        <w:tc>
          <w:tcPr/>
          <w:p>
            <w:pPr>
              <w:pStyle w:val="Compact"/>
              <w:jc w:val="right"/>
            </w:pPr>
            <w:r>
              <w:t xml:space="preserve">Mean ADE</w:t>
            </w:r>
          </w:p>
        </w:tc>
        <w:tc>
          <w:tcPr/>
          <w:p>
            <w:pPr>
              <w:pStyle w:val="Compact"/>
              <w:jc w:val="right"/>
            </w:pPr>
            <w:r>
              <w:t xml:space="preserve">1% trimmed mean</w:t>
            </w:r>
          </w:p>
        </w:tc>
      </w:tr>
      <w:tr>
        <w:tc>
          <w:tcPr/>
          <w:p>
            <w:pPr>
              <w:pStyle w:val="Compact"/>
            </w:pPr>
            <w:r>
              <w:t xml:space="preserve">Temporal holdout</w:t>
            </w:r>
          </w:p>
        </w:tc>
        <w:tc>
          <w:tcPr/>
          <w:p>
            <w:pPr>
              <w:pStyle w:val="Compact"/>
            </w:pPr>
            <w:r>
              <w:t xml:space="preserve">Kalman-CV</w:t>
            </w:r>
          </w:p>
        </w:tc>
        <w:tc>
          <w:tcPr/>
          <w:p>
            <w:pPr>
              <w:pStyle w:val="Compact"/>
              <w:jc w:val="right"/>
            </w:pPr>
            <w:r>
              <w:t xml:space="preserve">8.2</w:t>
            </w:r>
          </w:p>
        </w:tc>
        <w:tc>
          <w:tcPr/>
          <w:p>
            <w:pPr>
              <w:pStyle w:val="Compact"/>
              <w:jc w:val="right"/>
            </w:pPr>
            <w:r>
              <w:t xml:space="preserve">1,009.7</w:t>
            </w:r>
          </w:p>
        </w:tc>
        <w:tc>
          <w:tcPr/>
          <w:p>
            <w:pPr>
              <w:pStyle w:val="Compact"/>
              <w:jc w:val="right"/>
            </w:pPr>
            <w:r>
              <w:t xml:space="preserve">2,120.6</w:t>
            </w:r>
          </w:p>
        </w:tc>
        <w:tc>
          <w:tcPr/>
          <w:p>
            <w:pPr>
              <w:pStyle w:val="Compact"/>
              <w:jc w:val="right"/>
            </w:pPr>
            <w:r>
              <w:t xml:space="preserve">34,576.1</w:t>
            </w:r>
          </w:p>
        </w:tc>
        <w:tc>
          <w:tcPr/>
          <w:p>
            <w:pPr>
              <w:pStyle w:val="Compact"/>
              <w:jc w:val="right"/>
            </w:pPr>
            <w:r>
              <w:t xml:space="preserve">1,759.7</w:t>
            </w:r>
          </w:p>
        </w:tc>
        <w:tc>
          <w:tcPr/>
          <w:p>
            <w:pPr>
              <w:pStyle w:val="Compact"/>
              <w:jc w:val="right"/>
            </w:pPr>
            <w:r>
              <w:t xml:space="preserve">484.0</w:t>
            </w:r>
          </w:p>
        </w:tc>
      </w:tr>
      <w:tr>
        <w:tc>
          <w:tcPr/>
          <w:p>
            <w:pPr>
              <w:pStyle w:val="Compact"/>
            </w:pPr>
            <w:r>
              <w:t xml:space="preserve">Temporal holdout</w:t>
            </w:r>
          </w:p>
        </w:tc>
        <w:tc>
          <w:tcPr/>
          <w:p>
            <w:pPr>
              <w:pStyle w:val="Compact"/>
            </w:pPr>
            <w:r>
              <w:t xml:space="preserve">CV</w:t>
            </w:r>
          </w:p>
        </w:tc>
        <w:tc>
          <w:tcPr/>
          <w:p>
            <w:pPr>
              <w:pStyle w:val="Compact"/>
              <w:jc w:val="right"/>
            </w:pPr>
            <w:r>
              <w:t xml:space="preserve">20.5</w:t>
            </w:r>
          </w:p>
        </w:tc>
        <w:tc>
          <w:tcPr/>
          <w:p>
            <w:pPr>
              <w:pStyle w:val="Compact"/>
              <w:jc w:val="right"/>
            </w:pPr>
            <w:r>
              <w:t xml:space="preserve">998.8</w:t>
            </w:r>
          </w:p>
        </w:tc>
        <w:tc>
          <w:tcPr/>
          <w:p>
            <w:pPr>
              <w:pStyle w:val="Compact"/>
              <w:jc w:val="right"/>
            </w:pPr>
            <w:r>
              <w:t xml:space="preserve">1,990.6</w:t>
            </w:r>
          </w:p>
        </w:tc>
        <w:tc>
          <w:tcPr/>
          <w:p>
            <w:pPr>
              <w:pStyle w:val="Compact"/>
              <w:jc w:val="right"/>
            </w:pPr>
            <w:r>
              <w:t xml:space="preserve">34,946.8</w:t>
            </w:r>
          </w:p>
        </w:tc>
        <w:tc>
          <w:tcPr/>
          <w:p>
            <w:pPr>
              <w:pStyle w:val="Compact"/>
              <w:jc w:val="right"/>
            </w:pPr>
            <w:r>
              <w:t xml:space="preserve">2,751.3</w:t>
            </w:r>
          </w:p>
        </w:tc>
        <w:tc>
          <w:tcPr/>
          <w:p>
            <w:pPr>
              <w:pStyle w:val="Compact"/>
              <w:jc w:val="right"/>
            </w:pPr>
            <w:r>
              <w:t xml:space="preserve">482.0</w:t>
            </w:r>
          </w:p>
        </w:tc>
      </w:tr>
      <w:tr>
        <w:tc>
          <w:tcPr/>
          <w:p>
            <w:pPr>
              <w:pStyle w:val="Compact"/>
            </w:pPr>
            <w:r>
              <w:t xml:space="preserve">Temporal holdout</w:t>
            </w:r>
          </w:p>
        </w:tc>
        <w:tc>
          <w:tcPr/>
          <w:p>
            <w:pPr>
              <w:pStyle w:val="Compact"/>
            </w:pPr>
            <w:r>
              <w:t xml:space="preserve">Ridge</w:t>
            </w:r>
          </w:p>
        </w:tc>
        <w:tc>
          <w:tcPr/>
          <w:p>
            <w:pPr>
              <w:pStyle w:val="Compact"/>
              <w:jc w:val="right"/>
            </w:pPr>
            <w:r>
              <w:t xml:space="preserve">1,563.1</w:t>
            </w:r>
          </w:p>
        </w:tc>
        <w:tc>
          <w:tcPr/>
          <w:p>
            <w:pPr>
              <w:pStyle w:val="Compact"/>
              <w:jc w:val="right"/>
            </w:pPr>
            <w:r>
              <w:t xml:space="preserve">2,934.6</w:t>
            </w:r>
          </w:p>
        </w:tc>
        <w:tc>
          <w:tcPr/>
          <w:p>
            <w:pPr>
              <w:pStyle w:val="Compact"/>
              <w:jc w:val="right"/>
            </w:pPr>
            <w:r>
              <w:t xml:space="preserve">4,857.6</w:t>
            </w:r>
          </w:p>
        </w:tc>
        <w:tc>
          <w:tcPr/>
          <w:p>
            <w:pPr>
              <w:pStyle w:val="Compact"/>
              <w:jc w:val="right"/>
            </w:pPr>
            <w:r>
              <w:t xml:space="preserve">39,372.3</w:t>
            </w:r>
          </w:p>
        </w:tc>
        <w:tc>
          <w:tcPr/>
          <w:p>
            <w:pPr>
              <w:pStyle w:val="Compact"/>
              <w:jc w:val="right"/>
            </w:pPr>
            <w:r>
              <w:t xml:space="preserve">3,141.7</w:t>
            </w:r>
          </w:p>
        </w:tc>
        <w:tc>
          <w:tcPr/>
          <w:p>
            <w:pPr>
              <w:pStyle w:val="Compact"/>
              <w:jc w:val="right"/>
            </w:pPr>
            <w:r>
              <w:t xml:space="preserve">2,057.0</w:t>
            </w:r>
          </w:p>
        </w:tc>
      </w:tr>
      <w:tr>
        <w:tc>
          <w:tcPr/>
          <w:p>
            <w:pPr>
              <w:pStyle w:val="Compact"/>
            </w:pPr>
            <w:r>
              <w:t xml:space="preserve">Temporal holdout</w:t>
            </w:r>
          </w:p>
        </w:tc>
        <w:tc>
          <w:tcPr/>
          <w:p>
            <w:pPr>
              <w:pStyle w:val="Compact"/>
            </w:pPr>
            <w:r>
              <w:t xml:space="preserve">OLS</w:t>
            </w:r>
          </w:p>
        </w:tc>
        <w:tc>
          <w:tcPr/>
          <w:p>
            <w:pPr>
              <w:pStyle w:val="Compact"/>
              <w:jc w:val="right"/>
            </w:pPr>
            <w:r>
              <w:t xml:space="preserve">1,439.3</w:t>
            </w:r>
          </w:p>
        </w:tc>
        <w:tc>
          <w:tcPr/>
          <w:p>
            <w:pPr>
              <w:pStyle w:val="Compact"/>
              <w:jc w:val="right"/>
            </w:pPr>
            <w:r>
              <w:t xml:space="preserve">2,767.1</w:t>
            </w:r>
          </w:p>
        </w:tc>
        <w:tc>
          <w:tcPr/>
          <w:p>
            <w:pPr>
              <w:pStyle w:val="Compact"/>
              <w:jc w:val="right"/>
            </w:pPr>
            <w:r>
              <w:t xml:space="preserve">4,916.5</w:t>
            </w:r>
          </w:p>
        </w:tc>
        <w:tc>
          <w:tcPr/>
          <w:p>
            <w:pPr>
              <w:pStyle w:val="Compact"/>
              <w:jc w:val="right"/>
            </w:pPr>
            <w:r>
              <w:t xml:space="preserve">36,361.0</w:t>
            </w:r>
          </w:p>
        </w:tc>
        <w:tc>
          <w:tcPr/>
          <w:p>
            <w:pPr>
              <w:pStyle w:val="Compact"/>
              <w:jc w:val="right"/>
            </w:pPr>
            <w:r>
              <w:t xml:space="preserve">3,052.3</w:t>
            </w:r>
          </w:p>
        </w:tc>
        <w:tc>
          <w:tcPr/>
          <w:p>
            <w:pPr>
              <w:pStyle w:val="Compact"/>
              <w:jc w:val="right"/>
            </w:pPr>
            <w:r>
              <w:t xml:space="preserve">1,933.4</w:t>
            </w:r>
          </w:p>
        </w:tc>
      </w:tr>
      <w:tr>
        <w:tc>
          <w:tcPr/>
          <w:p>
            <w:pPr>
              <w:pStyle w:val="Compact"/>
            </w:pPr>
            <w:r>
              <w:t xml:space="preserve">Vessel-disjoint holdout</w:t>
            </w:r>
          </w:p>
        </w:tc>
        <w:tc>
          <w:tcPr/>
          <w:p>
            <w:pPr>
              <w:pStyle w:val="Compact"/>
            </w:pPr>
            <w:r>
              <w:t xml:space="preserve">Kalman-CV</w:t>
            </w:r>
          </w:p>
        </w:tc>
        <w:tc>
          <w:tcPr/>
          <w:p>
            <w:pPr>
              <w:pStyle w:val="Compact"/>
              <w:jc w:val="right"/>
            </w:pPr>
            <w:r>
              <w:t xml:space="preserve">9.2</w:t>
            </w:r>
          </w:p>
        </w:tc>
        <w:tc>
          <w:tcPr/>
          <w:p>
            <w:pPr>
              <w:pStyle w:val="Compact"/>
              <w:jc w:val="right"/>
            </w:pPr>
            <w:r>
              <w:t xml:space="preserve">1,197.7</w:t>
            </w:r>
          </w:p>
        </w:tc>
        <w:tc>
          <w:tcPr/>
          <w:p>
            <w:pPr>
              <w:pStyle w:val="Compact"/>
              <w:jc w:val="right"/>
            </w:pPr>
            <w:r>
              <w:t xml:space="preserve">3,186.6</w:t>
            </w:r>
          </w:p>
        </w:tc>
        <w:tc>
          <w:tcPr/>
          <w:p>
            <w:pPr>
              <w:pStyle w:val="Compact"/>
              <w:jc w:val="right"/>
            </w:pPr>
            <w:r>
              <w:t xml:space="preserve">46,157.6</w:t>
            </w:r>
          </w:p>
        </w:tc>
        <w:tc>
          <w:tcPr/>
          <w:p>
            <w:pPr>
              <w:pStyle w:val="Compact"/>
              <w:jc w:val="right"/>
            </w:pPr>
            <w:r>
              <w:t xml:space="preserve">3,109.4</w:t>
            </w:r>
          </w:p>
        </w:tc>
        <w:tc>
          <w:tcPr/>
          <w:p>
            <w:pPr>
              <w:pStyle w:val="Compact"/>
              <w:jc w:val="right"/>
            </w:pPr>
            <w:r>
              <w:t xml:space="preserve">753.2</w:t>
            </w:r>
          </w:p>
        </w:tc>
      </w:tr>
      <w:tr>
        <w:tc>
          <w:tcPr/>
          <w:p>
            <w:pPr>
              <w:pStyle w:val="Compact"/>
            </w:pPr>
            <w:r>
              <w:t xml:space="preserve">Vessel-disjoint holdout</w:t>
            </w:r>
          </w:p>
        </w:tc>
        <w:tc>
          <w:tcPr/>
          <w:p>
            <w:pPr>
              <w:pStyle w:val="Compact"/>
            </w:pPr>
            <w:r>
              <w:t xml:space="preserve">CV</w:t>
            </w:r>
          </w:p>
        </w:tc>
        <w:tc>
          <w:tcPr/>
          <w:p>
            <w:pPr>
              <w:pStyle w:val="Compact"/>
              <w:jc w:val="right"/>
            </w:pPr>
            <w:r>
              <w:t xml:space="preserve">22.8</w:t>
            </w:r>
          </w:p>
        </w:tc>
        <w:tc>
          <w:tcPr/>
          <w:p>
            <w:pPr>
              <w:pStyle w:val="Compact"/>
              <w:jc w:val="right"/>
            </w:pPr>
            <w:r>
              <w:t xml:space="preserve">1,203.2</w:t>
            </w:r>
          </w:p>
        </w:tc>
        <w:tc>
          <w:tcPr/>
          <w:p>
            <w:pPr>
              <w:pStyle w:val="Compact"/>
              <w:jc w:val="right"/>
            </w:pPr>
            <w:r>
              <w:t xml:space="preserve">2,991.4</w:t>
            </w:r>
          </w:p>
        </w:tc>
        <w:tc>
          <w:tcPr/>
          <w:p>
            <w:pPr>
              <w:pStyle w:val="Compact"/>
              <w:jc w:val="right"/>
            </w:pPr>
            <w:r>
              <w:t xml:space="preserve">46,265.6</w:t>
            </w:r>
          </w:p>
        </w:tc>
        <w:tc>
          <w:tcPr/>
          <w:p>
            <w:pPr>
              <w:pStyle w:val="Compact"/>
              <w:jc w:val="right"/>
            </w:pPr>
            <w:r>
              <w:t xml:space="preserve">9,553.5</w:t>
            </w:r>
          </w:p>
        </w:tc>
        <w:tc>
          <w:tcPr/>
          <w:p>
            <w:pPr>
              <w:pStyle w:val="Compact"/>
              <w:jc w:val="right"/>
            </w:pPr>
            <w:r>
              <w:t xml:space="preserve">759.5</w:t>
            </w:r>
          </w:p>
        </w:tc>
      </w:tr>
      <w:tr>
        <w:tc>
          <w:tcPr/>
          <w:p>
            <w:pPr>
              <w:pStyle w:val="Compact"/>
            </w:pPr>
            <w:r>
              <w:t xml:space="preserve">Vessel-disjoint holdout</w:t>
            </w:r>
          </w:p>
        </w:tc>
        <w:tc>
          <w:tcPr/>
          <w:p>
            <w:pPr>
              <w:pStyle w:val="Compact"/>
            </w:pPr>
            <w:r>
              <w:t xml:space="preserve">Ridge</w:t>
            </w:r>
          </w:p>
        </w:tc>
        <w:tc>
          <w:tcPr/>
          <w:p>
            <w:pPr>
              <w:pStyle w:val="Compact"/>
              <w:jc w:val="right"/>
            </w:pPr>
            <w:r>
              <w:t xml:space="preserve">1,277.5</w:t>
            </w:r>
          </w:p>
        </w:tc>
        <w:tc>
          <w:tcPr/>
          <w:p>
            <w:pPr>
              <w:pStyle w:val="Compact"/>
              <w:jc w:val="right"/>
            </w:pPr>
            <w:r>
              <w:t xml:space="preserve">2,516.6</w:t>
            </w:r>
          </w:p>
        </w:tc>
        <w:tc>
          <w:tcPr/>
          <w:p>
            <w:pPr>
              <w:pStyle w:val="Compact"/>
              <w:jc w:val="right"/>
            </w:pPr>
            <w:r>
              <w:t xml:space="preserve">4,391.9</w:t>
            </w:r>
          </w:p>
        </w:tc>
        <w:tc>
          <w:tcPr/>
          <w:p>
            <w:pPr>
              <w:pStyle w:val="Compact"/>
              <w:jc w:val="right"/>
            </w:pPr>
            <w:r>
              <w:t xml:space="preserve">47,065.1</w:t>
            </w:r>
          </w:p>
        </w:tc>
        <w:tc>
          <w:tcPr/>
          <w:p>
            <w:pPr>
              <w:pStyle w:val="Compact"/>
              <w:jc w:val="right"/>
            </w:pPr>
            <w:r>
              <w:t xml:space="preserve">3,446.9</w:t>
            </w:r>
          </w:p>
        </w:tc>
        <w:tc>
          <w:tcPr/>
          <w:p>
            <w:pPr>
              <w:pStyle w:val="Compact"/>
              <w:jc w:val="right"/>
            </w:pPr>
            <w:r>
              <w:t xml:space="preserve">1,875.4</w:t>
            </w:r>
          </w:p>
        </w:tc>
      </w:tr>
      <w:tr>
        <w:tc>
          <w:tcPr/>
          <w:p>
            <w:pPr>
              <w:pStyle w:val="Compact"/>
            </w:pPr>
            <w:r>
              <w:t xml:space="preserve">Vessel-disjoint holdout</w:t>
            </w:r>
          </w:p>
        </w:tc>
        <w:tc>
          <w:tcPr/>
          <w:p>
            <w:pPr>
              <w:pStyle w:val="Compact"/>
            </w:pPr>
            <w:r>
              <w:t xml:space="preserve">OLS</w:t>
            </w:r>
          </w:p>
        </w:tc>
        <w:tc>
          <w:tcPr/>
          <w:p>
            <w:pPr>
              <w:pStyle w:val="Compact"/>
              <w:jc w:val="right"/>
            </w:pPr>
            <w:r>
              <w:t xml:space="preserve">930.0</w:t>
            </w:r>
          </w:p>
        </w:tc>
        <w:tc>
          <w:tcPr/>
          <w:p>
            <w:pPr>
              <w:pStyle w:val="Compact"/>
              <w:jc w:val="right"/>
            </w:pPr>
            <w:r>
              <w:t xml:space="preserve">2,229.2</w:t>
            </w:r>
          </w:p>
        </w:tc>
        <w:tc>
          <w:tcPr/>
          <w:p>
            <w:pPr>
              <w:pStyle w:val="Compact"/>
              <w:jc w:val="right"/>
            </w:pPr>
            <w:r>
              <w:t xml:space="preserve">4,131.3</w:t>
            </w:r>
          </w:p>
        </w:tc>
        <w:tc>
          <w:tcPr/>
          <w:p>
            <w:pPr>
              <w:pStyle w:val="Compact"/>
              <w:jc w:val="right"/>
            </w:pPr>
            <w:r>
              <w:t xml:space="preserve">47,434.3</w:t>
            </w:r>
          </w:p>
        </w:tc>
        <w:tc>
          <w:tcPr/>
          <w:p>
            <w:pPr>
              <w:pStyle w:val="Compact"/>
              <w:jc w:val="right"/>
            </w:pPr>
            <w:r>
              <w:t xml:space="preserve">8,113.3</w:t>
            </w:r>
          </w:p>
        </w:tc>
        <w:tc>
          <w:tcPr/>
          <w:p>
            <w:pPr>
              <w:pStyle w:val="Compact"/>
              <w:jc w:val="right"/>
            </w:pPr>
            <w:r>
              <w:t xml:space="preserve">1,564.0</w:t>
            </w:r>
          </w:p>
        </w:tc>
      </w:tr>
    </w:tbl>
    <w:p>
      <w:pPr>
        <w:pStyle w:val="BodyText"/>
      </w:pPr>
      <w:r>
        <w:t xml:space="preserve">The neural baselines should be interpreted carefully. The Transformer baseline records 56,310.7 m temporal ADE in the reported run, and the other neural baselines are also far above the strongest kinematic and linear baselines. This is not evidence that neural AIS prediction is impossible. Under the documented baseline configurations and preprocessing protocol, the neural sequence baselines did not outperform the strongest kinematic baselines. The useful publication claim is therefore methodological: strong baselines, documented tuning, split discipline and downstream warning evaluation are necessary before asserting architecture superiority. The selected neural configurations and validation proxy-search summary are reported in Supplementary File S1.</w:t>
      </w:r>
    </w:p>
    <w:p>
      <w:pPr>
        <w:pStyle w:val="BodyText"/>
      </w:pPr>
      <w:r>
        <w:t xml:space="preserve">The constant-acceleration result is also instructive. Although acceleration may appear to be a richer physical assumption than constant velocity, it performs very poorly in the reported aggregate metrics. This likely reflects the sensitivity of acceleration estimates to noisy or interpolated short-window position changes. For navigation applications, a physically plausible model family still needs to be numerically stable under the reporting characteristics of AIS. More parameters are not automatically better when the observations are irregular and manoeuvres are sparse.</w:t>
      </w:r>
    </w:p>
    <w:p>
      <w:pPr>
        <w:pStyle w:val="BodyText"/>
      </w:pPr>
      <w:r>
        <w:t xml:space="preserve">Figure 3 shows error growth across the 15 forecast steps. The short-horizon character of the task is visible: errors generally increase with horizon, and the more stable baselines retain better behaviour over time. This figure is useful for navigation readers because a 15-minute average can hide whether an error appears immediately or accumulates near the end of the horizon.</w:t>
      </w:r>
    </w:p>
    <w:p>
      <w:pPr>
        <w:pStyle w:val="CaptionedFigure"/>
      </w:pPr>
      <w:r>
        <w:drawing>
          <wp:inline>
            <wp:extent cx="5334000" cy="2238815"/>
            <wp:effectExtent b="0" l="0" r="0" t="0"/>
            <wp:docPr descr="Figure 3. Horizon-wise ADE degradation for selected model families." title="" id="23" name="Picture"/>
            <a:graphic>
              <a:graphicData uri="http://schemas.openxmlformats.org/drawingml/2006/picture">
                <pic:pic>
                  <pic:nvPicPr>
                    <pic:cNvPr descr="figures/jon_horizon_degradation.png" id="24" name="Picture"/>
                    <pic:cNvPicPr>
                      <a:picLocks noChangeArrowheads="1" noChangeAspect="1"/>
                    </pic:cNvPicPr>
                  </pic:nvPicPr>
                  <pic:blipFill>
                    <a:blip r:embed="rId22"/>
                    <a:stretch>
                      <a:fillRect/>
                    </a:stretch>
                  </pic:blipFill>
                  <pic:spPr bwMode="auto">
                    <a:xfrm>
                      <a:off x="0" y="0"/>
                      <a:ext cx="5334000" cy="2238815"/>
                    </a:xfrm>
                    <a:prstGeom prst="rect">
                      <a:avLst/>
                    </a:prstGeom>
                    <a:noFill/>
                    <a:ln w="9525">
                      <a:noFill/>
                      <a:headEnd/>
                      <a:tailEnd/>
                    </a:ln>
                  </pic:spPr>
                </pic:pic>
              </a:graphicData>
            </a:graphic>
          </wp:inline>
        </w:drawing>
      </w:r>
    </w:p>
    <w:p>
      <w:pPr>
        <w:pStyle w:val="ImageCaption"/>
      </w:pPr>
      <w:r>
        <w:t xml:space="preserve">Figure 3. Horizon-wise ADE degradation for selected model families.</w:t>
      </w:r>
    </w:p>
    <w:p>
      <w:pPr>
        <w:pStyle w:val="BodyText"/>
      </w:pPr>
      <w:r>
        <w:t xml:space="preserve">Figure 4 reports the CPA/TCPA warning metrics. Kalman-CV and constant velocity are close in precision and recall. Kalman-CV has precision 0.963 and recall 0.900; CV has precision 0.961 and recall 0.894. Kalman-CV has a slightly lower false-alarm rate and missed-warning rate, while CV has a slightly lower mean absolute CPA error in nautical miles. The linear least-squares baseline produces a much higher false-alarm rate and larger CPA error, showing that position-prediction quality does not translate uniformly into warning quality.</w:t>
      </w:r>
    </w:p>
    <w:p>
      <w:pPr>
        <w:pStyle w:val="CaptionedFigure"/>
      </w:pPr>
      <w:r>
        <w:drawing>
          <wp:inline>
            <wp:extent cx="5334000" cy="2242889"/>
            <wp:effectExtent b="0" l="0" r="0" t="0"/>
            <wp:docPr descr="Figure 4. CPA/TCPA warning classification and CPA-error metrics for selected trajectory models." title="" id="26" name="Picture"/>
            <a:graphic>
              <a:graphicData uri="http://schemas.openxmlformats.org/drawingml/2006/picture">
                <pic:pic>
                  <pic:nvPicPr>
                    <pic:cNvPr descr="figures/jon_risk_warning_metrics.png" id="27" name="Picture"/>
                    <pic:cNvPicPr>
                      <a:picLocks noChangeArrowheads="1" noChangeAspect="1"/>
                    </pic:cNvPicPr>
                  </pic:nvPicPr>
                  <pic:blipFill>
                    <a:blip r:embed="rId25"/>
                    <a:stretch>
                      <a:fillRect/>
                    </a:stretch>
                  </pic:blipFill>
                  <pic:spPr bwMode="auto">
                    <a:xfrm>
                      <a:off x="0" y="0"/>
                      <a:ext cx="5334000" cy="2242889"/>
                    </a:xfrm>
                    <a:prstGeom prst="rect">
                      <a:avLst/>
                    </a:prstGeom>
                    <a:noFill/>
                    <a:ln w="9525">
                      <a:noFill/>
                      <a:headEnd/>
                      <a:tailEnd/>
                    </a:ln>
                  </pic:spPr>
                </pic:pic>
              </a:graphicData>
            </a:graphic>
          </wp:inline>
        </w:drawing>
      </w:r>
    </w:p>
    <w:p>
      <w:pPr>
        <w:pStyle w:val="ImageCaption"/>
      </w:pPr>
      <w:r>
        <w:t xml:space="preserve">Figure 4. CPA/TCPA warning classification and CPA-error metrics for selected trajectory models.</w:t>
      </w:r>
    </w:p>
    <w:p>
      <w:pPr>
        <w:pStyle w:val="BodyText"/>
      </w:pPr>
      <w:r>
        <w:t xml:space="preserve">Table 4. AIS-derived risk-warning metrics.</w:t>
      </w:r>
    </w:p>
    <w:tbl>
      <w:tblPr>
        <w:tblStyle w:val="Table"/>
        <w:tblW w:type="pct" w:w="5000"/>
        <w:tblLayout w:type="fixed"/>
        <w:tblLook w:firstRow="1" w:lastRow="0" w:firstColumn="0" w:lastColumn="0" w:noHBand="0" w:noVBand="0" w:val="0020"/>
      </w:tblPr>
      <w:tblGrid>
        <w:gridCol w:w="552"/>
        <w:gridCol w:w="736"/>
        <w:gridCol w:w="736"/>
        <w:gridCol w:w="736"/>
        <w:gridCol w:w="736"/>
        <w:gridCol w:w="736"/>
        <w:gridCol w:w="736"/>
        <w:gridCol w:w="736"/>
        <w:gridCol w:w="736"/>
        <w:gridCol w:w="736"/>
        <w:gridCol w:w="736"/>
      </w:tblGrid>
      <w:tr>
        <w:trPr>
          <w:tblHeader w:val="on"/>
        </w:trPr>
        <w:tc>
          <w:tcPr/>
          <w:p>
            <w:pPr>
              <w:pStyle w:val="Compact"/>
            </w:pPr>
            <w:r>
              <w:t xml:space="preserve">Model</w:t>
            </w:r>
          </w:p>
        </w:tc>
        <w:tc>
          <w:tcPr/>
          <w:p>
            <w:pPr>
              <w:pStyle w:val="Compact"/>
              <w:jc w:val="right"/>
            </w:pPr>
            <w:r>
              <w:t xml:space="preserve">TP</w:t>
            </w:r>
          </w:p>
        </w:tc>
        <w:tc>
          <w:tcPr/>
          <w:p>
            <w:pPr>
              <w:pStyle w:val="Compact"/>
              <w:jc w:val="right"/>
            </w:pPr>
            <w:r>
              <w:t xml:space="preserve">FP</w:t>
            </w:r>
          </w:p>
        </w:tc>
        <w:tc>
          <w:tcPr/>
          <w:p>
            <w:pPr>
              <w:pStyle w:val="Compact"/>
              <w:jc w:val="right"/>
            </w:pPr>
            <w:r>
              <w:t xml:space="preserve">FN</w:t>
            </w:r>
          </w:p>
        </w:tc>
        <w:tc>
          <w:tcPr/>
          <w:p>
            <w:pPr>
              <w:pStyle w:val="Compact"/>
              <w:jc w:val="right"/>
            </w:pPr>
            <w:r>
              <w:t xml:space="preserve">TN</w:t>
            </w:r>
          </w:p>
        </w:tc>
        <w:tc>
          <w:tcPr/>
          <w:p>
            <w:pPr>
              <w:pStyle w:val="Compact"/>
              <w:jc w:val="right"/>
            </w:pPr>
            <w:r>
              <w:t xml:space="preserve">Precision</w:t>
            </w:r>
          </w:p>
        </w:tc>
        <w:tc>
          <w:tcPr/>
          <w:p>
            <w:pPr>
              <w:pStyle w:val="Compact"/>
              <w:jc w:val="right"/>
            </w:pPr>
            <w:r>
              <w:t xml:space="preserve">Recall</w:t>
            </w:r>
          </w:p>
        </w:tc>
        <w:tc>
          <w:tcPr/>
          <w:p>
            <w:pPr>
              <w:pStyle w:val="Compact"/>
              <w:jc w:val="right"/>
            </w:pPr>
            <w:r>
              <w:t xml:space="preserve">False alarm</w:t>
            </w:r>
          </w:p>
        </w:tc>
        <w:tc>
          <w:tcPr/>
          <w:p>
            <w:pPr>
              <w:pStyle w:val="Compact"/>
              <w:jc w:val="right"/>
            </w:pPr>
            <w:r>
              <w:t xml:space="preserve">Missed warning</w:t>
            </w:r>
          </w:p>
        </w:tc>
        <w:tc>
          <w:tcPr/>
          <w:p>
            <w:pPr>
              <w:pStyle w:val="Compact"/>
              <w:jc w:val="right"/>
            </w:pPr>
            <w:r>
              <w:t xml:space="preserve">Lead-time error (min)</w:t>
            </w:r>
          </w:p>
        </w:tc>
        <w:tc>
          <w:tcPr/>
          <w:p>
            <w:pPr>
              <w:pStyle w:val="Compact"/>
              <w:jc w:val="right"/>
            </w:pPr>
            <w:r>
              <w:t xml:space="preserve">CPA error (nmi)</w:t>
            </w:r>
          </w:p>
        </w:tc>
      </w:tr>
      <w:tr>
        <w:tc>
          <w:tcPr/>
          <w:p>
            <w:pPr>
              <w:pStyle w:val="Compact"/>
            </w:pPr>
            <w:r>
              <w:t xml:space="preserve">Kalman-CV</w:t>
            </w:r>
          </w:p>
        </w:tc>
        <w:tc>
          <w:tcPr/>
          <w:p>
            <w:pPr>
              <w:pStyle w:val="Compact"/>
              <w:jc w:val="right"/>
            </w:pPr>
            <w:r>
              <w:t xml:space="preserve">468</w:t>
            </w:r>
          </w:p>
        </w:tc>
        <w:tc>
          <w:tcPr/>
          <w:p>
            <w:pPr>
              <w:pStyle w:val="Compact"/>
              <w:jc w:val="right"/>
            </w:pPr>
            <w:r>
              <w:t xml:space="preserve">18</w:t>
            </w:r>
          </w:p>
        </w:tc>
        <w:tc>
          <w:tcPr/>
          <w:p>
            <w:pPr>
              <w:pStyle w:val="Compact"/>
              <w:jc w:val="right"/>
            </w:pPr>
            <w:r>
              <w:t xml:space="preserve">52</w:t>
            </w:r>
          </w:p>
        </w:tc>
        <w:tc>
          <w:tcPr/>
          <w:p>
            <w:pPr>
              <w:pStyle w:val="Compact"/>
              <w:jc w:val="right"/>
            </w:pPr>
            <w:r>
              <w:t xml:space="preserve">1462</w:t>
            </w:r>
          </w:p>
        </w:tc>
        <w:tc>
          <w:tcPr/>
          <w:p>
            <w:pPr>
              <w:pStyle w:val="Compact"/>
              <w:jc w:val="right"/>
            </w:pPr>
            <w:r>
              <w:t xml:space="preserve">0.963</w:t>
            </w:r>
          </w:p>
        </w:tc>
        <w:tc>
          <w:tcPr/>
          <w:p>
            <w:pPr>
              <w:pStyle w:val="Compact"/>
              <w:jc w:val="right"/>
            </w:pPr>
            <w:r>
              <w:t xml:space="preserve">0.900</w:t>
            </w:r>
          </w:p>
        </w:tc>
        <w:tc>
          <w:tcPr/>
          <w:p>
            <w:pPr>
              <w:pStyle w:val="Compact"/>
              <w:jc w:val="right"/>
            </w:pPr>
            <w:r>
              <w:t xml:space="preserve">0.012</w:t>
            </w:r>
          </w:p>
        </w:tc>
        <w:tc>
          <w:tcPr/>
          <w:p>
            <w:pPr>
              <w:pStyle w:val="Compact"/>
              <w:jc w:val="right"/>
            </w:pPr>
            <w:r>
              <w:t xml:space="preserve">0.100</w:t>
            </w:r>
          </w:p>
        </w:tc>
        <w:tc>
          <w:tcPr/>
          <w:p>
            <w:pPr>
              <w:pStyle w:val="Compact"/>
              <w:jc w:val="right"/>
            </w:pPr>
            <w:r>
              <w:t xml:space="preserve">0.083</w:t>
            </w:r>
          </w:p>
        </w:tc>
        <w:tc>
          <w:tcPr/>
          <w:p>
            <w:pPr>
              <w:pStyle w:val="Compact"/>
              <w:jc w:val="right"/>
            </w:pPr>
            <w:r>
              <w:t xml:space="preserve">0.092</w:t>
            </w:r>
          </w:p>
        </w:tc>
      </w:tr>
      <w:tr>
        <w:tc>
          <w:tcPr/>
          <w:p>
            <w:pPr>
              <w:pStyle w:val="Compact"/>
            </w:pPr>
            <w:r>
              <w:t xml:space="preserve">CV</w:t>
            </w:r>
          </w:p>
        </w:tc>
        <w:tc>
          <w:tcPr/>
          <w:p>
            <w:pPr>
              <w:pStyle w:val="Compact"/>
              <w:jc w:val="right"/>
            </w:pPr>
            <w:r>
              <w:t xml:space="preserve">465</w:t>
            </w:r>
          </w:p>
        </w:tc>
        <w:tc>
          <w:tcPr/>
          <w:p>
            <w:pPr>
              <w:pStyle w:val="Compact"/>
              <w:jc w:val="right"/>
            </w:pPr>
            <w:r>
              <w:t xml:space="preserve">19</w:t>
            </w:r>
          </w:p>
        </w:tc>
        <w:tc>
          <w:tcPr/>
          <w:p>
            <w:pPr>
              <w:pStyle w:val="Compact"/>
              <w:jc w:val="right"/>
            </w:pPr>
            <w:r>
              <w:t xml:space="preserve">55</w:t>
            </w:r>
          </w:p>
        </w:tc>
        <w:tc>
          <w:tcPr/>
          <w:p>
            <w:pPr>
              <w:pStyle w:val="Compact"/>
              <w:jc w:val="right"/>
            </w:pPr>
            <w:r>
              <w:t xml:space="preserve">1461</w:t>
            </w:r>
          </w:p>
        </w:tc>
        <w:tc>
          <w:tcPr/>
          <w:p>
            <w:pPr>
              <w:pStyle w:val="Compact"/>
              <w:jc w:val="right"/>
            </w:pPr>
            <w:r>
              <w:t xml:space="preserve">0.961</w:t>
            </w:r>
          </w:p>
        </w:tc>
        <w:tc>
          <w:tcPr/>
          <w:p>
            <w:pPr>
              <w:pStyle w:val="Compact"/>
              <w:jc w:val="right"/>
            </w:pPr>
            <w:r>
              <w:t xml:space="preserve">0.894</w:t>
            </w:r>
          </w:p>
        </w:tc>
        <w:tc>
          <w:tcPr/>
          <w:p>
            <w:pPr>
              <w:pStyle w:val="Compact"/>
              <w:jc w:val="right"/>
            </w:pPr>
            <w:r>
              <w:t xml:space="preserve">0.013</w:t>
            </w:r>
          </w:p>
        </w:tc>
        <w:tc>
          <w:tcPr/>
          <w:p>
            <w:pPr>
              <w:pStyle w:val="Compact"/>
              <w:jc w:val="right"/>
            </w:pPr>
            <w:r>
              <w:t xml:space="preserve">0.106</w:t>
            </w:r>
          </w:p>
        </w:tc>
        <w:tc>
          <w:tcPr/>
          <w:p>
            <w:pPr>
              <w:pStyle w:val="Compact"/>
              <w:jc w:val="right"/>
            </w:pPr>
            <w:r>
              <w:t xml:space="preserve">0.045</w:t>
            </w:r>
          </w:p>
        </w:tc>
        <w:tc>
          <w:tcPr/>
          <w:p>
            <w:pPr>
              <w:pStyle w:val="Compact"/>
              <w:jc w:val="right"/>
            </w:pPr>
            <w:r>
              <w:t xml:space="preserve">0.082</w:t>
            </w:r>
          </w:p>
        </w:tc>
      </w:tr>
      <w:tr>
        <w:tc>
          <w:tcPr/>
          <w:p>
            <w:pPr>
              <w:pStyle w:val="Compact"/>
            </w:pPr>
            <w:r>
              <w:t xml:space="preserve">OLS</w:t>
            </w:r>
          </w:p>
        </w:tc>
        <w:tc>
          <w:tcPr/>
          <w:p>
            <w:pPr>
              <w:pStyle w:val="Compact"/>
              <w:jc w:val="right"/>
            </w:pPr>
            <w:r>
              <w:t xml:space="preserve">453</w:t>
            </w:r>
          </w:p>
        </w:tc>
        <w:tc>
          <w:tcPr/>
          <w:p>
            <w:pPr>
              <w:pStyle w:val="Compact"/>
              <w:jc w:val="right"/>
            </w:pPr>
            <w:r>
              <w:t xml:space="preserve">173</w:t>
            </w:r>
          </w:p>
        </w:tc>
        <w:tc>
          <w:tcPr/>
          <w:p>
            <w:pPr>
              <w:pStyle w:val="Compact"/>
              <w:jc w:val="right"/>
            </w:pPr>
            <w:r>
              <w:t xml:space="preserve">67</w:t>
            </w:r>
          </w:p>
        </w:tc>
        <w:tc>
          <w:tcPr/>
          <w:p>
            <w:pPr>
              <w:pStyle w:val="Compact"/>
              <w:jc w:val="right"/>
            </w:pPr>
            <w:r>
              <w:t xml:space="preserve">1307</w:t>
            </w:r>
          </w:p>
        </w:tc>
        <w:tc>
          <w:tcPr/>
          <w:p>
            <w:pPr>
              <w:pStyle w:val="Compact"/>
              <w:jc w:val="right"/>
            </w:pPr>
            <w:r>
              <w:t xml:space="preserve">0.724</w:t>
            </w:r>
          </w:p>
        </w:tc>
        <w:tc>
          <w:tcPr/>
          <w:p>
            <w:pPr>
              <w:pStyle w:val="Compact"/>
              <w:jc w:val="right"/>
            </w:pPr>
            <w:r>
              <w:t xml:space="preserve">0.871</w:t>
            </w:r>
          </w:p>
        </w:tc>
        <w:tc>
          <w:tcPr/>
          <w:p>
            <w:pPr>
              <w:pStyle w:val="Compact"/>
              <w:jc w:val="right"/>
            </w:pPr>
            <w:r>
              <w:t xml:space="preserve">0.117</w:t>
            </w:r>
          </w:p>
        </w:tc>
        <w:tc>
          <w:tcPr/>
          <w:p>
            <w:pPr>
              <w:pStyle w:val="Compact"/>
              <w:jc w:val="right"/>
            </w:pPr>
            <w:r>
              <w:t xml:space="preserve">0.129</w:t>
            </w:r>
          </w:p>
        </w:tc>
        <w:tc>
          <w:tcPr/>
          <w:p>
            <w:pPr>
              <w:pStyle w:val="Compact"/>
              <w:jc w:val="right"/>
            </w:pPr>
            <w:r>
              <w:t xml:space="preserve">0.302</w:t>
            </w:r>
          </w:p>
        </w:tc>
        <w:tc>
          <w:tcPr/>
          <w:p>
            <w:pPr>
              <w:pStyle w:val="Compact"/>
              <w:jc w:val="right"/>
            </w:pPr>
            <w:r>
              <w:t xml:space="preserve">0.346</w:t>
            </w:r>
          </w:p>
        </w:tc>
      </w:tr>
    </w:tbl>
    <w:p>
      <w:pPr>
        <w:pStyle w:val="BodyText"/>
      </w:pPr>
      <w:r>
        <w:t xml:space="preserve">Figure 5 reports scenario-slice sensitivity for speed and region groups on the temporal holdout. The purpose is not to claim complete regional robustness. Instead, the figure makes visible that aggregate results are shaped by traffic composition. Low-speed and high-speed slices can have very different error magnitudes, and regions with fewer samples should be interpreted with greater caution. This supports the paper’s conservative boundary: the reported evidence is stronger than a single aggregate benchmark but is not yet a full seasonal or global generalisation study.</w:t>
      </w:r>
    </w:p>
    <w:p>
      <w:pPr>
        <w:pStyle w:val="BodyText"/>
      </w:pPr>
      <w:r>
        <w:t xml:space="preserve">The slice analysis also provides a practical debugging tool. If a future model improves the aggregate ADE but worsens high-speed or regional slices, a navigation reviewer may reasonably question whether the model is safer or merely better aligned with the dominant traffic class. Conversely, a model that is slightly worse on the aggregate but much more stable in a safety-critical slice could be worth further study. This is another reason to keep group summaries in the supplementary evidence package.</w:t>
      </w:r>
    </w:p>
    <w:p>
      <w:pPr>
        <w:pStyle w:val="CaptionedFigure"/>
      </w:pPr>
      <w:r>
        <w:drawing>
          <wp:inline>
            <wp:extent cx="5334000" cy="2239442"/>
            <wp:effectExtent b="0" l="0" r="0" t="0"/>
            <wp:docPr descr="Figure 5. Scenario-slice sensitivity by speed bin and region on the temporal holdout." title="" id="29" name="Picture"/>
            <a:graphic>
              <a:graphicData uri="http://schemas.openxmlformats.org/drawingml/2006/picture">
                <pic:pic>
                  <pic:nvPicPr>
                    <pic:cNvPr descr="figures/jon_scenario_slice_errors.png" id="30" name="Picture"/>
                    <pic:cNvPicPr>
                      <a:picLocks noChangeArrowheads="1" noChangeAspect="1"/>
                    </pic:cNvPicPr>
                  </pic:nvPicPr>
                  <pic:blipFill>
                    <a:blip r:embed="rId28"/>
                    <a:stretch>
                      <a:fillRect/>
                    </a:stretch>
                  </pic:blipFill>
                  <pic:spPr bwMode="auto">
                    <a:xfrm>
                      <a:off x="0" y="0"/>
                      <a:ext cx="5334000" cy="2239442"/>
                    </a:xfrm>
                    <a:prstGeom prst="rect">
                      <a:avLst/>
                    </a:prstGeom>
                    <a:noFill/>
                    <a:ln w="9525">
                      <a:noFill/>
                      <a:headEnd/>
                      <a:tailEnd/>
                    </a:ln>
                  </pic:spPr>
                </pic:pic>
              </a:graphicData>
            </a:graphic>
          </wp:inline>
        </w:drawing>
      </w:r>
    </w:p>
    <w:p>
      <w:pPr>
        <w:pStyle w:val="ImageCaption"/>
      </w:pPr>
      <w:r>
        <w:t xml:space="preserve">Figure 5. Scenario-slice sensitivity by speed bin and region on the temporal holdout.</w:t>
      </w:r>
    </w:p>
    <w:p>
      <w:pPr>
        <w:pStyle w:val="BodyText"/>
      </w:pPr>
      <w:r>
        <w:t xml:space="preserve">Figure 6 provides AIS-derived encounter examples from the existing risk-warning output. Such figures are essential because navigation readers need to inspect whether the warning problem looks operationally plausible, not merely whether a metric table is favourable.</w:t>
      </w:r>
    </w:p>
    <w:p>
      <w:pPr>
        <w:pStyle w:val="CaptionedFigure"/>
      </w:pPr>
      <w:r>
        <w:drawing>
          <wp:inline>
            <wp:extent cx="5334000" cy="4000500"/>
            <wp:effectExtent b="0" l="0" r="0" t="0"/>
            <wp:docPr descr="Figure 6. AIS-derived encounter case studies from the risk-warning evaluation." title="" id="32" name="Picture"/>
            <a:graphic>
              <a:graphicData uri="http://schemas.openxmlformats.org/drawingml/2006/picture">
                <pic:pic>
                  <pic:nvPicPr>
                    <pic:cNvPr descr="figures/jon_risk_case_studies.png" id="33" name="Picture"/>
                    <pic:cNvPicPr>
                      <a:picLocks noChangeArrowheads="1" noChangeAspect="1"/>
                    </pic:cNvPicPr>
                  </pic:nvPicPr>
                  <pic:blipFill>
                    <a:blip r:embed="rId31"/>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Figure 6. AIS-derived encounter case studies from the risk-warning evaluation.</w:t>
      </w:r>
    </w:p>
    <w:bookmarkEnd w:id="34"/>
    <w:bookmarkStart w:id="35" w:name="discussion"/>
    <w:p>
      <w:pPr>
        <w:pStyle w:val="Heading2"/>
      </w:pPr>
      <w:r>
        <w:t xml:space="preserve">7. DISCUSSION</w:t>
      </w:r>
    </w:p>
    <w:p>
      <w:pPr>
        <w:pStyle w:val="FirstParagraph"/>
      </w:pPr>
      <w:r>
        <w:t xml:space="preserve">The main result is conservative but practically useful. A simple, transparent motion model remains difficult to beat for short-horizon AIS forecasting, and a Kalman-style version of that model is the strongest reported baseline by ADE under both temporal and vessel-disjoint holdouts. This finding has immediate implications for navigation research. A new AIS prediction model should be compared against well-implemented kinematic baselines, not only against other neural models or weakened classical references. If it fails to improve on those baselines, the paper can still contribute if it explains where the failure occurs and what it reveals about the evaluation protocol.</w:t>
      </w:r>
    </w:p>
    <w:p>
      <w:pPr>
        <w:pStyle w:val="BodyText"/>
      </w:pPr>
      <w:r>
        <w:t xml:space="preserve">For navigation research, the value of this result is an explicit evidence standard. The comparison links data provenance, split definitions, trajectory metrics and warning outputs before drawing a practical conclusion. That stance is well suited to safety-related navigation work, where a carefully bounded benchmark can be more useful than a premature performance claim.</w:t>
      </w:r>
    </w:p>
    <w:p>
      <w:pPr>
        <w:pStyle w:val="BodyText"/>
      </w:pPr>
      <w:r>
        <w:t xml:space="preserve">The risk-warning results also temper the interpretation of ADE. Kalman-CV has the best trajectory ADE, but CV has a slightly lower mean absolute CPA error in the reported risk slice. The difference is small, and both models produce strong warning precision and recall, but the point is important. Downstream navigation metrics can reorder or nuance model preferences. An operational warning layer may care about false alarms, missed warnings and lead-time stability as much as mean position error. Future AIS prediction papers should therefore include at least one downstream navigation-safety metric when making decision-support claims.</w:t>
      </w:r>
    </w:p>
    <w:p>
      <w:pPr>
        <w:pStyle w:val="BodyText"/>
      </w:pPr>
      <w:r>
        <w:t xml:space="preserve">This result also suggests a direction for future model design. Instead of training only to minimise pointwise displacement error, a navigation-specific predictor might include losses or calibration objectives related to encounter geometry, CPA uncertainty or warning-threshold stability. Such a model would need careful validation, but it would align the optimisation target more closely with the decision-support task. The reported benchmark provides a baseline against which such extensions can be tested.</w:t>
      </w:r>
    </w:p>
    <w:p>
      <w:pPr>
        <w:pStyle w:val="BodyText"/>
      </w:pPr>
      <w:r>
        <w:t xml:space="preserve">The vessel-disjoint evaluation is one of the more important additions relative to a simpler evidence report. Vessel identity can leak behaviour into random splits, especially when multiple windows from the same MMSI appear in train and test sets. Holding out MMSI values does not solve every generalisation issue, but it reduces one obvious source of overoptimism. The reported results show that CV degrades substantially more than Kalman-CV under vessel-disjoint testing, while ridge regression becomes competitive with Kalman-CV. This suggests that model robustness depends on both the physical assumption and the split boundary.</w:t>
      </w:r>
    </w:p>
    <w:p>
      <w:pPr>
        <w:pStyle w:val="BodyText"/>
      </w:pPr>
      <w:r>
        <w:t xml:space="preserve">The neural results should remain claim-bounded. These neural baselines are deliberately modest and documented as baselines. The tuning protocol records a validation-set proxy search, but it does not represent a comprehensive neural architecture search. A future neural study could improve scaling, loss design, coordinate parameterisation, sequence length, map context, vessel type metadata or encounter-aware objectives. Such improvements may well change the neural results. The contribution here is that those future claims should be made against this kind of evidence chain: auditable data, strong baselines, split definitions, statistical summaries and downstream warning analysis.</w:t>
      </w:r>
    </w:p>
    <w:p>
      <w:pPr>
        <w:pStyle w:val="BodyText"/>
      </w:pPr>
      <w:r>
        <w:t xml:space="preserve">For practitioners, the workflow has a direct use. Running the pipeline on updated historical AIS source dates can regenerate the same tables, figures and warning outputs. The repository also includes an offline prediction-export utility that produces trajectory predictions and risk-warning records from prepared AIS data. This is not a live operational service, but it demonstrates how the benchmark can be extended into a monitoring workflow, subject to the same limitations about historical data quality, warning thresholds and absence of closed-loop validation.</w:t>
      </w:r>
    </w:p>
    <w:p>
      <w:pPr>
        <w:pStyle w:val="BodyText"/>
      </w:pPr>
      <w:r>
        <w:t xml:space="preserve">The practical route from this benchmark to an operational tool would require several additional layers. First, the data ingestion layer would need live AIS handling, latency monitoring and missing-message logic. Second, the prediction layer would need calibrated uncertainty rather than only point trajectories. Third, the warning layer would need human-factor evaluation so that alert frequency, phrasing and timing support rather than distract operators. Fourth, any avoidance recommendation would need explicit COLREGs interpretation and closed-loop testing. The present work does not complete those steps, but it gives them a reproducible starting point.</w:t>
      </w:r>
    </w:p>
    <w:bookmarkEnd w:id="35"/>
    <w:bookmarkStart w:id="36" w:name="limitations"/>
    <w:p>
      <w:pPr>
        <w:pStyle w:val="Heading2"/>
      </w:pPr>
      <w:r>
        <w:t xml:space="preserve">8. LIMITATIONS</w:t>
      </w:r>
    </w:p>
    <w:p>
      <w:pPr>
        <w:pStyle w:val="FirstParagraph"/>
      </w:pPr>
      <w:r>
        <w:t xml:space="preserve">The evidence is historical. It does not ingest a live AIS stream and does not validate real-time deployment. The four source dates provide a stronger protocol than a single-day experiment, but they do not prove all-day, seasonal or global generalisation. The processed artefact includes useful metadata, yet it does not include every contextual variable that could matter, such as vessel class reliability, weather, traffic-control context, chart constraints or planned routes.</w:t>
      </w:r>
    </w:p>
    <w:p>
      <w:pPr>
        <w:pStyle w:val="BodyText"/>
      </w:pPr>
      <w:r>
        <w:t xml:space="preserve">The risk-warning task is an AIS-derived decision-support evaluation. It is not a simulator of bridge-team behaviour, not a COLREGs compliance proof and not an autonomous collision-avoidance validation. The International Regulations for Preventing Collisions at Sea remain a legal and operational framework far richer than the thresholded CPA/TCPA labels used here (International Maritime Organization, 1972). Any operational use would require human-factors assessment, false-alarm tolerance analysis, traffic-service integration, reliability engineering and domain-specific validation.</w:t>
      </w:r>
    </w:p>
    <w:bookmarkEnd w:id="36"/>
    <w:bookmarkStart w:id="37" w:name="conclusions"/>
    <w:p>
      <w:pPr>
        <w:pStyle w:val="Heading2"/>
      </w:pPr>
      <w:r>
        <w:t xml:space="preserve">9. CONCLUSIONS</w:t>
      </w:r>
    </w:p>
    <w:p>
      <w:pPr>
        <w:pStyle w:val="FirstParagraph"/>
      </w:pPr>
      <w:r>
        <w:t xml:space="preserve">This paper reports a reproducible AIS trajectory-prediction benchmark for navigation risk-warning support. The evidence chain links raw historical AIS data, checksummed preprocessing, temporal and vessel-disjoint splits, kinematic/statistical/neural baselines, paired statistical summaries, scenario-slice analysis and CPA/TCPA warning metrics. The best mean-ADE model is Kalman-CV on both temporal and vessel-disjoint holdouts. Constant velocity remains a strong short-horizon baseline, and the documented neural sequence baselines do not outperform the simple baselines under this controlled protocol. The practical lesson is not that deep learning has no role in maritime prediction, but that navigation papers need strong baselines, reproducible splits and downstream warning metrics before making decision-support claims.</w:t>
      </w:r>
    </w:p>
    <w:bookmarkEnd w:id="37"/>
    <w:bookmarkStart w:id="38" w:name="data-and-code-availability"/>
    <w:p>
      <w:pPr>
        <w:pStyle w:val="Heading2"/>
      </w:pPr>
      <w:r>
        <w:t xml:space="preserve">DATA AND CODE AVAILABILITY</w:t>
      </w:r>
    </w:p>
    <w:p>
      <w:pPr>
        <w:pStyle w:val="FirstParagraph"/>
      </w:pPr>
      <w:r>
        <w:t xml:space="preserve">The code, configuration files, generated figures, compact evidence artefacts and manuscript-generation workflow are available at https://github.com/TristanLib/ais, archived under tag</w:t>
      </w:r>
      <w:r>
        <w:t xml:space="preserve"> </w:t>
      </w:r>
      <w:r>
        <w:rPr>
          <w:rStyle w:val="VerbatimChar"/>
        </w:rPr>
        <w:t xml:space="preserve">jon-submission-v1.3</w:t>
      </w:r>
      <w:r>
        <w:t xml:space="preserve">. No separate archival DOI is available for this release at the time of submission. The source data are derived from public NOAA MarineCadastre.gov historical AIS files subject to NOAA data access terms; the repository does not redistribute raw NOAA AIS files or processed NumPy arrays.</w:t>
      </w:r>
    </w:p>
    <w:p>
      <w:pPr>
        <w:pStyle w:val="BodyText"/>
      </w:pPr>
      <w:r>
        <w:t xml:space="preserve">The full reproduction command and evidence-file inventory are provided in Supplementary File S1 and in the repository README.</w:t>
      </w:r>
    </w:p>
    <w:p>
      <w:pPr>
        <w:pStyle w:val="BodyText"/>
      </w:pPr>
      <w:r>
        <w:t xml:space="preserve">The supplementary package accompanying this manuscript includes manifest summaries, full model metrics, horizon and group summaries, statistical summaries, neural tuning records and risk-warning metrics, but excludes the large per-sample error file to satisfy supplementary file-size guidance.</w:t>
      </w:r>
    </w:p>
    <w:bookmarkEnd w:id="38"/>
    <w:bookmarkStart w:id="39" w:name="competing-interests"/>
    <w:p>
      <w:pPr>
        <w:pStyle w:val="Heading2"/>
      </w:pPr>
      <w:r>
        <w:t xml:space="preserve">COMPETING INTERESTS</w:t>
      </w:r>
    </w:p>
    <w:p>
      <w:pPr>
        <w:pStyle w:val="FirstParagraph"/>
      </w:pPr>
      <w:r>
        <w:t xml:space="preserve">The author declares no competing interests.</w:t>
      </w:r>
    </w:p>
    <w:bookmarkEnd w:id="39"/>
    <w:bookmarkStart w:id="40" w:name="author-contributions"/>
    <w:p>
      <w:pPr>
        <w:pStyle w:val="Heading2"/>
      </w:pPr>
      <w:r>
        <w:t xml:space="preserve">AUTHOR CONTRIBUTIONS</w:t>
      </w:r>
    </w:p>
    <w:p>
      <w:pPr>
        <w:pStyle w:val="FirstParagraph"/>
      </w:pPr>
      <w:r>
        <w:t xml:space="preserve">Li Bo is the sole author and was responsible for study conception, methodology, software workflow, validation, formal analysis, interpretation, manuscript drafting and final approval.</w:t>
      </w:r>
    </w:p>
    <w:bookmarkEnd w:id="40"/>
    <w:bookmarkStart w:id="41" w:name="funding"/>
    <w:p>
      <w:pPr>
        <w:pStyle w:val="Heading2"/>
      </w:pPr>
      <w:r>
        <w:t xml:space="preserve">FUNDING</w:t>
      </w:r>
    </w:p>
    <w:p>
      <w:pPr>
        <w:pStyle w:val="FirstParagraph"/>
      </w:pPr>
      <w:r>
        <w:t xml:space="preserve">This research received no specific grant from any funding agency, commercial or not-for-profit sectors.</w:t>
      </w:r>
    </w:p>
    <w:bookmarkEnd w:id="41"/>
    <w:bookmarkStart w:id="42" w:name="ai-use-declaration"/>
    <w:p>
      <w:pPr>
        <w:pStyle w:val="Heading2"/>
      </w:pPr>
      <w:r>
        <w:t xml:space="preserve">AI-USE DECLARATION</w:t>
      </w:r>
    </w:p>
    <w:p>
      <w:pPr>
        <w:pStyle w:val="FirstParagraph"/>
      </w:pPr>
      <w:r>
        <w:t xml:space="preserve">Generative AI tools were used in May 2026 for assistance with code drafting, language editing, manuscript structuring and consistency checks against repository evidence files. The author verified all numerical results and is responsible for the final content.</w:t>
      </w:r>
    </w:p>
    <w:bookmarkEnd w:id="42"/>
    <w:bookmarkStart w:id="43" w:name="acknowledgements"/>
    <w:p>
      <w:pPr>
        <w:pStyle w:val="Heading2"/>
      </w:pPr>
      <w:r>
        <w:t xml:space="preserve">ACKNOWLEDGEMENTS</w:t>
      </w:r>
    </w:p>
    <w:p>
      <w:pPr>
        <w:pStyle w:val="FirstParagraph"/>
      </w:pPr>
      <w:r>
        <w:t xml:space="preserve">The author thanks his family for their patience, encouragement and support during the preparation of this work.</w:t>
      </w:r>
    </w:p>
    <w:bookmarkEnd w:id="43"/>
    <w:bookmarkStart w:id="44" w:name="supplementary-material"/>
    <w:p>
      <w:pPr>
        <w:pStyle w:val="Heading2"/>
      </w:pPr>
      <w:r>
        <w:t xml:space="preserve">SUPPLEMENTARY MATERIAL</w:t>
      </w:r>
    </w:p>
    <w:p>
      <w:pPr>
        <w:pStyle w:val="FirstParagraph"/>
      </w:pPr>
      <w:r>
        <w:t xml:space="preserve">Supplementary File S1 contains the reproducibility manifest, full benchmark tables, neural baseline configuration summary, scenario summaries and risk-warning evidence used to generate this manuscript. The individual supplementary archive is kept below the 10 MB per-file guideline.</w:t>
      </w:r>
    </w:p>
    <w:bookmarkEnd w:id="44"/>
    <w:bookmarkStart w:id="45" w:name="references"/>
    <w:p>
      <w:pPr>
        <w:pStyle w:val="Heading2"/>
      </w:pPr>
      <w:r>
        <w:t xml:space="preserve">REFERENCES</w:t>
      </w:r>
    </w:p>
    <w:p>
      <w:pPr>
        <w:pStyle w:val="FirstParagraph"/>
      </w:pPr>
      <w:r>
        <w:t xml:space="preserve">Bai, S., Kolter, J. Z. and Koltun, V. (2018). An Empirical Evaluation of Generic Convolutional and Recurrent Networks for Sequence Modeling. arXiv:1803.01271. https://arxiv.org/abs/1803.01271.</w:t>
      </w:r>
    </w:p>
    <w:p>
      <w:pPr>
        <w:pStyle w:val="BodyText"/>
      </w:pPr>
      <w:r>
        <w:t xml:space="preserve">Bergstra, J. and Bengio, Y. (2012). Random Search for Hyper-Parameter Optimization. Journal of Machine Learning Research, 13, 281-305.</w:t>
      </w:r>
    </w:p>
    <w:p>
      <w:pPr>
        <w:pStyle w:val="BodyText"/>
      </w:pPr>
      <w:r>
        <w:t xml:space="preserve">Cho, K., van Merrienboer, B., Gulcehre, C., Bahdanau, D., Bougares, F., Schwenk, H. and Bengio, Y. (2014). Learning Phrase Representations using RNN Encoder-Decoder for Statistical Machine Translation. Proceedings of the 2014 Conference on Empirical Methods in Natural Language Processing, 1724-1734. doi:10.3115/v1/D14-1179.</w:t>
      </w:r>
    </w:p>
    <w:p>
      <w:pPr>
        <w:pStyle w:val="BodyText"/>
      </w:pPr>
      <w:r>
        <w:t xml:space="preserve">Dalsnes, B. R., Hexeberg, S., Flaten, A. L., Eriksen, B. O. H. and Brekke, E. F. (2018). The Neighbor Course Distribution Method with Gaussian Mixture Models for AIS-Based Vessel Trajectory Prediction. Proceedings of the 21st International Conference on Information Fusion. doi:10.23919/ICIF.2018.8455607.</w:t>
      </w:r>
    </w:p>
    <w:p>
      <w:pPr>
        <w:pStyle w:val="BodyText"/>
      </w:pPr>
      <w:r>
        <w:t xml:space="preserve">Demsar, J. (2006). Statistical Comparisons of Classifiers over Multiple Data Sets. Journal of Machine Learning Research, 7, 1-30.</w:t>
      </w:r>
    </w:p>
    <w:p>
      <w:pPr>
        <w:pStyle w:val="BodyText"/>
      </w:pPr>
      <w:r>
        <w:t xml:space="preserve">Endsley, M. R. (1995). Toward a Theory of Situation Awareness in Dynamic Systems. Human Factors, 37, 32-64. doi:10.1518/001872095779049543.</w:t>
      </w:r>
    </w:p>
    <w:p>
      <w:pPr>
        <w:pStyle w:val="BodyText"/>
      </w:pPr>
      <w:r>
        <w:t xml:space="preserve">Fujii, Y. and Tanaka, K. (1971). Traffic Capacity. The Journal of Navigation, 24, 543-552. doi:10.1017/S0373463300022384.</w:t>
      </w:r>
    </w:p>
    <w:p>
      <w:pPr>
        <w:pStyle w:val="BodyText"/>
      </w:pPr>
      <w:r>
        <w:t xml:space="preserve">Goodwin, E. M. (1975). A Statistical Study of Ship Domains. The Journal of Navigation, 28, 328-344. doi:10.1017/S0373463300041230.</w:t>
      </w:r>
    </w:p>
    <w:p>
      <w:pPr>
        <w:pStyle w:val="BodyText"/>
      </w:pPr>
      <w:r>
        <w:t xml:space="preserve">Hansen, M. G., Jensen, T. K., Lehn-Schioler, T., Melchild, K., Rasmussen, F. M. and Ennemark, F. (2013). Empirical Ship Domain based on AIS Data. The Journal of Navigation, 66, 931-940. doi:10.1017/S0373463313000489.</w:t>
      </w:r>
    </w:p>
    <w:p>
      <w:pPr>
        <w:pStyle w:val="BodyText"/>
      </w:pPr>
      <w:r>
        <w:t xml:space="preserve">Hexeberg, S., Flaten, A. L., Eriksen, B. O. H. and Brekke, E. F. (2017). AIS-Based Vessel Trajectory Prediction. Proceedings of the 20th International Conference on Information Fusion. doi:10.23919/ICIF.2017.8009762.</w:t>
      </w:r>
    </w:p>
    <w:p>
      <w:pPr>
        <w:pStyle w:val="BodyText"/>
      </w:pPr>
      <w:r>
        <w:t xml:space="preserve">Hochreiter, S. and Schmidhuber, J. (1997). Long Short-Term Memory. Neural Computation, 9, 1735-1780. doi:10.1162/neco.1997.9.8.1735.</w:t>
      </w:r>
    </w:p>
    <w:p>
      <w:pPr>
        <w:pStyle w:val="BodyText"/>
      </w:pPr>
      <w:r>
        <w:t xml:space="preserve">International Maritime Organization. (1972). Convention on the International Regulations for Preventing Collisions at Sea, 1972 (COLREGs). https://www.imo.org/en/About/Conventions/Pages/COLREG.aspx. Accessed 16 May 2026.</w:t>
      </w:r>
    </w:p>
    <w:p>
      <w:pPr>
        <w:pStyle w:val="BodyText"/>
      </w:pPr>
      <w:r>
        <w:t xml:space="preserve">Kalman, R. E. (1960). A New Approach to Linear Filtering and Prediction Problems. Journal of Basic Engineering, 82, 35-45. doi:10.1115/1.3662552.</w:t>
      </w:r>
    </w:p>
    <w:p>
      <w:pPr>
        <w:pStyle w:val="BodyText"/>
      </w:pPr>
      <w:r>
        <w:t xml:space="preserve">Kingma, D. P. and Ba, J. (2015). Adam: A Method for Stochastic Optimization. Proceedings of the International Conference on Learning Representations. https://arxiv.org/abs/1412.6980.</w:t>
      </w:r>
    </w:p>
    <w:p>
      <w:pPr>
        <w:pStyle w:val="BodyText"/>
      </w:pPr>
      <w:r>
        <w:t xml:space="preserve">Leek, J. T. and Peng, R. D. (2015). Reproducible Research Can Still Be Wrong: Adopting a Prevention Approach. Proceedings of the National Academy of Sciences, 112, 1645-1646. doi:10.1073/pnas.1421412111.</w:t>
      </w:r>
    </w:p>
    <w:p>
      <w:pPr>
        <w:pStyle w:val="BodyText"/>
      </w:pPr>
      <w:r>
        <w:t xml:space="preserve">MarineCadastre.gov. (2024). AIS Data. https://marinecadastre.gov/ais/. Accessed 16 May 2026.</w:t>
      </w:r>
    </w:p>
    <w:p>
      <w:pPr>
        <w:pStyle w:val="BodyText"/>
      </w:pPr>
      <w:r>
        <w:t xml:space="preserve">Millefiori, L. M., Braca, P., Bryan, K. and Willett, P. (2016). Modeling Vessel Kinematics using a Stochastic Mean-Reverting Process for Long-Term Prediction. IEEE Transactions on Aerospace and Electronic Systems, 52, 2313-2330. doi:10.1109/TAES.2016.150596.</w:t>
      </w:r>
    </w:p>
    <w:p>
      <w:pPr>
        <w:pStyle w:val="BodyText"/>
      </w:pPr>
      <w:r>
        <w:t xml:space="preserve">Mou, J. M., van der Tak, C. and Ligteringen, H. (2010). Study on Collision Avoidance in Busy Waterways by using AIS Data. Ocean Engineering, 37, 483-490. doi:10.1016/j.oceaneng.2010.01.012.</w:t>
      </w:r>
    </w:p>
    <w:p>
      <w:pPr>
        <w:pStyle w:val="BodyText"/>
      </w:pPr>
      <w:r>
        <w:t xml:space="preserve">NOAA Office for Coastal Management. (2026). Marine Cadastre. https://www.coast.noaa.gov/digitalcoast/data/marine-cadastre.html. Accessed 16 May 2026.</w:t>
      </w:r>
    </w:p>
    <w:p>
      <w:pPr>
        <w:pStyle w:val="BodyText"/>
      </w:pPr>
      <w:r>
        <w:t xml:space="preserve">Pallotta, G., Vespe, M. and Bryan, K. (2013). Vessel Pattern Knowledge Discovery from AIS Data: A Framework for Anomaly Detection and Route Prediction. Entropy, 15, 2218-2245. doi:10.3390/e15062218.</w:t>
      </w:r>
    </w:p>
    <w:p>
      <w:pPr>
        <w:pStyle w:val="BodyText"/>
      </w:pPr>
      <w:r>
        <w:t xml:space="preserve">Paszke, A., Gross, S., Massa, F., Lerer, A., Bradbury, J., Chanan, G., Killeen, T., Lin, Z., Gimelshein, N., Antiga, L. and others. (2019). PyTorch: An Imperative Style, High-Performance Deep Learning Library. Advances in Neural Information Processing Systems, 32.</w:t>
      </w:r>
    </w:p>
    <w:p>
      <w:pPr>
        <w:pStyle w:val="BodyText"/>
      </w:pPr>
      <w:r>
        <w:t xml:space="preserve">Pedregosa, F., Varoquaux, G., Gramfort, A., Michel, V., Thirion, B., Grisel, O., Blondel, M., Prettenhofer, P., Weiss, R., Dubourg, V. and others. (2011). Scikit-learn: Machine Learning in Python. Journal of Machine Learning Research, 12, 2825-2830. https://www.jmlr.org/papers/v12/pedregosa11a.html.</w:t>
      </w:r>
    </w:p>
    <w:p>
      <w:pPr>
        <w:pStyle w:val="BodyText"/>
      </w:pPr>
      <w:r>
        <w:t xml:space="preserve">Pineau, J., Vincent-Lamarre, P., Sinha, K., Lariviere, V., Beygelzimer, A., d’Alche-Buc, F., Fox, E. and Larochelle, H. (2021). Improving Reproducibility in Machine Learning Research. Journal of Machine Learning Research, 22, 1-20. https://www.jmlr.org/papers/v22/20-303.html.</w:t>
      </w:r>
    </w:p>
    <w:p>
      <w:pPr>
        <w:pStyle w:val="BodyText"/>
      </w:pPr>
      <w:r>
        <w:t xml:space="preserve">Ristic, B., La Scala, B., Morelande, M. and Gordon, N. (2008). Statistical Analysis of Motion Patterns in AIS Data: Anomaly Detection and Motion Prediction. Proceedings of the 11th International Conference on Information Fusion. doi:10.1109/ICIF.2008.4632190.</w:t>
      </w:r>
    </w:p>
    <w:p>
      <w:pPr>
        <w:pStyle w:val="BodyText"/>
      </w:pPr>
      <w:r>
        <w:t xml:space="preserve">Sculley, D., Holt, G., Golovin, D., Davydov, E., Phillips, T., Ebner, D., Chaudhary, V., Young, M., Crespo, J. F. and Dennison, D. (2015). Hidden Technical Debt in Machine Learning Systems. Advances in Neural Information Processing Systems, 28, 2503-2511.</w:t>
      </w:r>
    </w:p>
    <w:p>
      <w:pPr>
        <w:pStyle w:val="BodyText"/>
      </w:pPr>
      <w:r>
        <w:t xml:space="preserve">Statheros, T., Howells, G. and Maier, K. M. (2008). Autonomous Ship Collision Avoidance Navigation Concepts, Technologies and Techniques. The Journal of Navigation, 61, 129-142. doi:10.1017/S037346330700447X.</w:t>
      </w:r>
    </w:p>
    <w:p>
      <w:pPr>
        <w:pStyle w:val="BodyText"/>
      </w:pPr>
      <w:r>
        <w:t xml:space="preserve">Szlapczynski, R. and Szlapczynska, J. (2017). Review of Ship Safety Domains: Models and Applications. Ocean Engineering, 145, 277-289. doi:10.1016/j.oceaneng.2017.09.020.</w:t>
      </w:r>
    </w:p>
    <w:p>
      <w:pPr>
        <w:pStyle w:val="BodyText"/>
      </w:pPr>
      <w:r>
        <w:t xml:space="preserve">Tu, E., Zhang, G., Rachmawati, L., Rajabally, E. and Huang, G. B. (2018). Exploiting AIS Data for Intelligent Maritime Navigation: A Comprehensive Survey From Data to Methodology. IEEE Transactions on Intelligent Transportation Systems, 19, 1559-1582. doi:10.1109/TITS.2017.2724551.</w:t>
      </w:r>
    </w:p>
    <w:p>
      <w:pPr>
        <w:pStyle w:val="BodyText"/>
      </w:pPr>
      <w:r>
        <w:t xml:space="preserve">Vaswani, A., Shazeer, N., Parmar, N., Uszkoreit, J., Jones, L., Gomez, A. N., Kaiser, L. and Polosukhin, I. (2017). Attention Is All You Need. Advances in Neural Information Processing Systems, 30, 5998-6008. https://arxiv.org/abs/1706.03762.</w:t>
      </w:r>
    </w:p>
    <w:p>
      <w:pPr>
        <w:pStyle w:val="BodyText"/>
      </w:pPr>
      <w:r>
        <w:t xml:space="preserve">Wilson, G., Bryan, J., Cranston, K., Kitzes, J., Nederbragt, L. and Teal, T. K. (2017). Good Enough Practices in Scientific Computing. PLOS Computational Biology, 13, e1005510. doi:10.1371/journal.pcbi.1005510.</w:t>
      </w:r>
    </w:p>
    <w:bookmarkEnd w:id="45"/>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19" Target="media/rId19.png" /><Relationship Type="http://schemas.openxmlformats.org/officeDocument/2006/relationships/image" Id="rId12" Target="media/rId12.png" /><Relationship Type="http://schemas.openxmlformats.org/officeDocument/2006/relationships/image" Id="rId31" Target="media/rId31.png" /><Relationship Type="http://schemas.openxmlformats.org/officeDocument/2006/relationships/image" Id="rId25" Target="media/rId25.png" /><Relationship Type="http://schemas.openxmlformats.org/officeDocument/2006/relationships/image" Id="rId28" Target="media/rId2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2026-05-18T09:49:10Z</dcterms:created>
  <dcterms:modified xsi:type="dcterms:W3CDTF">2026-05-18T09:49:10Z</dcterms:modified>
</cp:coreProperties>
</file>

<file path=docProps/custom.xml><?xml version="1.0" encoding="utf-8"?>
<Properties xmlns="http://schemas.openxmlformats.org/officeDocument/2006/custom-properties" xmlns:vt="http://schemas.openxmlformats.org/officeDocument/2006/docPropsVTypes"/>
</file>