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  <Override PartName="/word/media/rId12.png" ContentType="image/png"/>
  <Override PartName="/word/media/rId30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面向航行风险预警的ais船舶轨迹预测可复现基准研究"/>
    <w:p>
      <w:pPr>
        <w:pStyle w:val="Heading1"/>
      </w:pPr>
      <w:r>
        <w:rPr>
          <w:rFonts w:hint="eastAsia"/>
        </w:rPr>
        <w:t xml:space="preserve">面向航行风险预警的AIS船舶轨迹预测可复现基准研究</w:t>
      </w:r>
    </w:p>
    <w:p>
      <w:pPr>
        <w:pStyle w:val="FirstParagraph"/>
      </w:pPr>
      <w:r>
        <w:rPr>
          <w:rFonts w:hint="eastAsia"/>
        </w:rPr>
        <w:t xml:space="preserve">文章类型：研究论文中文工作稿</w:t>
      </w:r>
    </w:p>
    <w:p>
      <w:pPr>
        <w:pStyle w:val="BodyText"/>
      </w:pPr>
      <w:r>
        <w:rPr>
          <w:rFonts w:hint="eastAsia"/>
        </w:rPr>
        <w:t xml:space="preserve">作者：［作者1］、［作者2］、［作者3］</w:t>
      </w:r>
    </w:p>
    <w:p>
      <w:pPr>
        <w:pStyle w:val="BodyText"/>
      </w:pPr>
      <w:r>
        <w:rPr>
          <w:rFonts w:hint="eastAsia"/>
        </w:rPr>
        <w:t xml:space="preserve">单位：［投稿前补全作者单位、城市、邮编］</w:t>
      </w:r>
    </w:p>
    <w:p>
      <w:pPr>
        <w:pStyle w:val="BodyText"/>
      </w:pPr>
      <w:r>
        <w:rPr>
          <w:rFonts w:hint="eastAsia"/>
        </w:rPr>
        <w:t xml:space="preserve">通信作者：［姓名、邮箱、ORCID］</w:t>
      </w:r>
    </w:p>
    <w:p>
      <w:pPr>
        <w:pStyle w:val="BodyText"/>
      </w:pPr>
      <w:r>
        <w:rPr>
          <w:rFonts w:hint="eastAsia"/>
        </w:rPr>
        <w:t xml:space="preserve">生成时间：2026-05-17T02:48:32.132551+00:00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船舶短时轨迹预测通常被表述为机器学习问题，但面向航行安全的应用还需要透明的基线模型、可复核的数据划分、泛化评估以及与风险预警指标之间的明确联系。本文构建了一个面向AIS历史数据的可复现轨迹预测与CPA/TCPA风险预警评估基准。当前证据包来自NOAA历史AIS数据，覆盖4个数据源日期（2024-01-02、2024-01-09、2024-02-06、2024-03-05），包含186,326个轨迹窗口和7,425个MMSI。每个样本使用30个一分钟历史位置预测未来15个一分钟位置。协议记录原始文件校验和、处理后文件校验和、船舶标识、时间、区域、航速、转向强度、时间保持划分和船舶不相交划分。实验比较运动学、Kalman风格、线性统计和神经网络基线，并进一步评估预测轨迹对AIS衍生CPA/TCPA预警精确率、召回率、误报率和漏报率的影响。当前非调试运行中，Kalman风格常速度模型在时间保持测试中取得1,759.7</w:t>
      </w:r>
      <w:r>
        <w:t xml:space="preserve"> m </w:t>
      </w:r>
      <w:r>
        <w:rPr>
          <w:rFonts w:hint="eastAsia"/>
        </w:rPr>
        <w:t xml:space="preserve">ADE，在船舶不相交测试中取得3,109.4</w:t>
      </w:r>
      <w:r>
        <w:t xml:space="preserve"> m </w:t>
      </w:r>
      <w:r>
        <w:rPr>
          <w:rFonts w:hint="eastAsia"/>
        </w:rPr>
        <w:t xml:space="preserve">ADE，均为最优。常速度模型在时间保持测试中仍是强基线（2,751.3</w:t>
      </w:r>
      <w:r>
        <w:t xml:space="preserve"> m </w:t>
      </w:r>
      <w:r>
        <w:rPr>
          <w:rFonts w:hint="eastAsia"/>
        </w:rPr>
        <w:t xml:space="preserve">ADE），但在船舶不相交测试中误差增大（9,553.5</w:t>
      </w:r>
      <w:r>
        <w:t xml:space="preserve"> m </w:t>
      </w:r>
      <w:r>
        <w:rPr>
          <w:rFonts w:hint="eastAsia"/>
        </w:rPr>
        <w:t xml:space="preserve">ADE）。在2,000个AIS衍生会遇场景中，Kalman风格常速度模型的预警精确率为0.963，召回率为0.900，误报率为0.012，漏报率为0.100。本文不宣称完成自主避碰验证；贡献在于提供一条可审计的航行预测与风险预警证据链，说明简单基线和下游预警指标应成为AIS预测论文的必要组成部分。</w:t>
      </w:r>
    </w:p>
    <w:p>
      <w:pPr>
        <w:pStyle w:val="BodyText"/>
      </w:pPr>
      <w:r>
        <w:rPr>
          <w:rFonts w:hint="eastAsia"/>
        </w:rPr>
        <w:t xml:space="preserve">关键词：AIS；船舶轨迹预测；CPA/TCPA；风险预警；可复现基准；运动学基线</w:t>
      </w:r>
    </w:p>
    <w:bookmarkEnd w:id="9"/>
    <w:bookmarkStart w:id="10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船舶自动识别系统（AIS）为海上交通监测、港口态势感知、航线推断、异常检测和碰撞风险评估提供了重要数据基础。随着历史AIS数据规模扩大，越来越多研究尝试使用LSTM、GRU、Transformer等深度序列模型进行船舶轨迹预测。然而，在航行安全场景中，模型结构复杂并不自动等于证据更强。预测结果可能在某一种随机划分下表现较好，却在未见船舶、不同时间块或特定会遇场景中明显退化。仅报告平均位置误差也无法说明模型是否会减少漏报、误报或CPA/TCPA预警偏差。</w:t>
      </w:r>
    </w:p>
    <w:p>
      <w:pPr>
        <w:pStyle w:val="BodyText"/>
      </w:pPr>
      <w:r>
        <w:rPr>
          <w:rFonts w:hint="eastAsia"/>
        </w:rPr>
        <w:t xml:space="preserve">本文关注的是方法论问题，而不是提出一个新的深度学习结构。许多AIS轨迹预测研究的可比性受限于数据清洗、插值、轨迹窗口构造、坐标度量、训练测试划分和基线模型实现。对于航行安全研究而言，预测模型只有在强基线、可复核划分和下游风险指标下仍然成立，才适合被描述为决策支持能力的提升。因此，本文提出三个研究问题：第一，简单运动学、线性统计和神经网络基线在统一短时AIS协议下表现如何；第二，模型排序在时间保持和船舶不相交测试中是否稳定；第三，轨迹预测误差如何影响CPA/TCPA风险预警精确率、召回率、误报率和漏报率。</w:t>
      </w:r>
    </w:p>
    <w:p>
      <w:pPr>
        <w:pStyle w:val="BodyText"/>
      </w:pPr>
      <w:r>
        <w:rPr>
          <w:rFonts w:hint="eastAsia"/>
        </w:rPr>
        <w:t xml:space="preserve">本文的贡献包括三点。第一，建立保留MMSI、时间、数据源日期、区域、航速和转向强度等元数据的AIS基准流程，使同一处理后数据同时支持时间保持和船舶不相交测试。第二，在统一协议下比较运动学、Kalman风格、线性统计和神经网络模型，强调常速度及其平滑变体不是弱基线，而是短时航行预测中必须严肃对照的强基线。第三，将轨迹预测结果映射到CPA/TCPA风险预警指标，避免只凭ADE或FDE讨论航行安全意义。</w:t>
      </w:r>
    </w:p>
    <w:bookmarkEnd w:id="10"/>
    <w:bookmarkStart w:id="11" w:name="相关工作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</w:p>
    <w:p>
      <w:pPr>
        <w:pStyle w:val="FirstParagraph"/>
      </w:pPr>
      <w:r>
        <w:rPr>
          <w:rFonts w:hint="eastAsia"/>
        </w:rPr>
        <w:t xml:space="preserve">AIS数据已广泛用于船舶行为建模、航线发现、异常检测和短时预测。相关研究表明，船舶轨迹既受到航道、港口、交通组织和操作习惯约束，也受到AIS上报间隔、接收质量和机动行为影响。因此，AIS预测模型的性能很大程度上取决于预处理和评估协议。若只给出处理后的数组而不说明清洗、插值和划分方式，外部读者很难判断模型结果是否可复核。</w:t>
      </w:r>
    </w:p>
    <w:p>
      <w:pPr>
        <w:pStyle w:val="BodyText"/>
      </w:pPr>
      <w:r>
        <w:rPr>
          <w:rFonts w:hint="eastAsia"/>
        </w:rPr>
        <w:t xml:space="preserve">短时预测任务中，简单运动学模型具有天然优势。多数船舶在几分钟到十几分钟尺度内保持相对稳定的航向和航速，常速度、常加速度和Kalman滤波模型能够以较低计算代价给出可解释预测。复杂模型若不能在同等协议下明显优于这些基线，其工程价值就需要重新审视。本文因此将常速度、常加速度和Kalman风格常速度模型作为核心基线，而不是把它们作为形式化对照。</w:t>
      </w:r>
    </w:p>
    <w:p>
      <w:pPr>
        <w:pStyle w:val="BodyText"/>
      </w:pPr>
      <w:r>
        <w:rPr>
          <w:rFonts w:hint="eastAsia"/>
        </w:rPr>
        <w:t xml:space="preserve">神经序列模型具有较强非线性拟合能力，但也更依赖坐标表示、归一化、损失函数、训练预算和调参策略。本文纳入LSTM、GRU、Transformer和TCN基线，是为了记录这些常见模型在当前协议下的可复核表现，而不是否定神经网络在所有AIS预测任务中的潜力。更强的神经模型仍可能通过地图约束、船型信息、航路上下文、概率预测或会遇感知损失取得改进，但这些改进需要在强基线和严格划分下重新验证。</w:t>
      </w:r>
    </w:p>
    <w:p>
      <w:pPr>
        <w:pStyle w:val="BodyText"/>
      </w:pPr>
      <w:r>
        <w:rPr>
          <w:rFonts w:hint="eastAsia"/>
        </w:rPr>
        <w:t xml:space="preserve">碰撞风险评估进一步要求把轨迹误差转化为航行相关指标。CPA和TCPA是会遇风险分析中的常见量，但它们并不等同于完整避碰决策。本文采用CPA/TCPA预警精确率、召回率、误报率和漏报率作为决策支持指标，保持在离线历史AIS评估范围内，不把结果表述为COLREGs合规或闭环自主避碰能力。</w:t>
      </w:r>
    </w:p>
    <w:bookmarkEnd w:id="11"/>
    <w:bookmarkStart w:id="15" w:name="数据与可复现协议"/>
    <w:p>
      <w:pPr>
        <w:pStyle w:val="Heading2"/>
      </w:pPr>
      <w:r>
        <w:t xml:space="preserve">3 </w:t>
      </w:r>
      <w:r>
        <w:rPr>
          <w:rFonts w:hint="eastAsia"/>
        </w:rPr>
        <w:t xml:space="preserve">数据与可复现协议</w:t>
      </w:r>
    </w:p>
    <w:p>
      <w:pPr>
        <w:pStyle w:val="FirstParagraph"/>
      </w:pPr>
      <w:r>
        <w:rPr>
          <w:rFonts w:hint="eastAsia"/>
        </w:rPr>
        <w:t xml:space="preserve">本文使用NOAA</w:t>
      </w:r>
      <w:r>
        <w:t xml:space="preserve"> </w:t>
      </w:r>
      <w:r>
        <w:rPr>
          <w:rFonts w:hint="eastAsia"/>
        </w:rPr>
        <w:t xml:space="preserve">MarineCadastre.gov公开AIS历史数据。当前处理后证据包覆盖2024-01-02、2024-01-09、2024-02-06、2024-03-05，时间范围为2024-01-02T00:00:00至2024-03-05T12:59:00，区域包括east_gulf_coast、hawaii_pacific、other、west_coast。数据清单记录原始文件校验和、处理后文件校验和、样本数量、MMSI数量、区域标签、平均航速、转向强度和插值比例。当前样本平均对地航速为2.22</w:t>
      </w:r>
      <w:r>
        <w:t xml:space="preserve"> </w:t>
      </w:r>
      <w:r>
        <w:rPr>
          <w:rFonts w:hint="eastAsia"/>
        </w:rPr>
        <w:t xml:space="preserve">kn，最大对地航速为34.88</w:t>
      </w:r>
      <w:r>
        <w:t xml:space="preserve"> </w:t>
      </w:r>
      <w:r>
        <w:rPr>
          <w:rFonts w:hint="eastAsia"/>
        </w:rPr>
        <w:t xml:space="preserve">kn，平均转向强度为17.69°，平均插值比例为0.181。</w:t>
      </w:r>
    </w:p>
    <w:p>
      <w:pPr>
        <w:pStyle w:val="BodyText"/>
      </w:pPr>
      <w:r>
        <w:rPr>
          <w:rFonts w:hint="eastAsia"/>
        </w:rPr>
        <w:t xml:space="preserve">每个轨迹窗口使用一分钟间隔。模型输入为30个历史步，输出为15个未来步。处理后的坐标保持为WGS84经纬度，ADE和FDE采用Haversine距离，以米为单位；RMSE和MAE采用局部北东分量误差，同样以米为单位。这样可以避免把经纬度角度直接当作平面距离导致的指标误读。</w:t>
      </w:r>
    </w:p>
    <w:p>
      <w:pPr>
        <w:pStyle w:val="BodyText"/>
      </w:pPr>
      <w:r>
        <w:rPr>
          <w:rFonts w:hint="eastAsia"/>
        </w:rPr>
        <w:t xml:space="preserve">时间保持划分包含130,428个训练样本、27,948个验证样本和27,950个测试样本。船舶不相交划分包含130,018个训练样本、28,597个验证样本和27,711个测试样本。前者考察后续时间块泛化，后者考察未见MMSI船舶泛化。两者均为历史数据协议，不能直接解释为实时AIS系统或全天候季节性验证。</w:t>
      </w:r>
    </w:p>
    <w:p>
      <w:pPr>
        <w:pStyle w:val="BodyText"/>
      </w:pPr>
      <w:r>
        <w:rPr>
          <w:rFonts w:hint="eastAsia"/>
        </w:rPr>
        <w:t xml:space="preserve">图1给出从原始AIS到风险预警指标的证据链。</w:t>
      </w:r>
    </w:p>
    <w:p>
      <w:pPr>
        <w:pStyle w:val="CaptionedFigure"/>
      </w:pPr>
      <w:r>
        <w:drawing>
          <wp:inline>
            <wp:extent cx="5334000" cy="1047278"/>
            <wp:effectExtent b="0" l="0" r="0" t="0"/>
            <wp:docPr descr="图1 AIS轨迹预测与风险预警可复现证据链。" title="" id="13" name="Picture"/>
            <a:graphic>
              <a:graphicData uri="http://schemas.openxmlformats.org/drawingml/2006/picture">
                <pic:pic>
                  <pic:nvPicPr>
                    <pic:cNvPr descr="figures/jon_pipeline_protoco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AIS轨迹预测与风险预警可复现证据链。</w:t>
      </w:r>
    </w:p>
    <w:p>
      <w:pPr>
        <w:pStyle w:val="BodyText"/>
      </w:pPr>
      <w:r>
        <w:rPr>
          <w:rFonts w:hint="eastAsia"/>
        </w:rPr>
        <w:t xml:space="preserve">当前高质量审计报告状态为</w:t>
      </w:r>
      <w:r>
        <w:rPr>
          <w:rStyle w:val="VerbatimChar"/>
        </w:rPr>
        <w:t xml:space="preserve">submission_ready_candidate</w:t>
      </w:r>
      <w:r>
        <w:rPr>
          <w:rFonts w:hint="eastAsia"/>
        </w:rPr>
        <w:t xml:space="preserve">，生成时无阻塞缺口。本文所有主要数值均由仓库中的</w:t>
      </w:r>
      <w:r>
        <w:rPr>
          <w:rStyle w:val="VerbatimChar"/>
        </w:rPr>
        <w:t xml:space="preserve">outputs/audit/</w:t>
      </w:r>
      <w:r>
        <w:t xml:space="preserve">、</w:t>
      </w:r>
      <w:r>
        <w:rPr>
          <w:rStyle w:val="VerbatimChar"/>
        </w:rPr>
        <w:t xml:space="preserve">outputs/final_multiday/</w:t>
      </w:r>
      <w:r>
        <w:t xml:space="preserve">、</w:t>
      </w:r>
      <w:r>
        <w:rPr>
          <w:rStyle w:val="VerbatimChar"/>
        </w:rPr>
        <w:t xml:space="preserve">outputs/final_risk/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outputs/final_submission/</w:t>
      </w:r>
      <w:r>
        <w:rPr>
          <w:rFonts w:hint="eastAsia"/>
        </w:rPr>
        <w:t xml:space="preserve">文件生成。</w:t>
      </w:r>
    </w:p>
    <w:bookmarkEnd w:id="15"/>
    <w:bookmarkStart w:id="16" w:name="模型与评价指标"/>
    <w:p>
      <w:pPr>
        <w:pStyle w:val="Heading2"/>
      </w:pPr>
      <w:r>
        <w:t xml:space="preserve">4 </w:t>
      </w:r>
      <w:r>
        <w:rPr>
          <w:rFonts w:hint="eastAsia"/>
        </w:rPr>
        <w:t xml:space="preserve">模型与评价指标</w:t>
      </w:r>
    </w:p>
    <w:p>
      <w:pPr>
        <w:pStyle w:val="FirstParagraph"/>
      </w:pPr>
      <w:r>
        <w:rPr>
          <w:rFonts w:hint="eastAsia"/>
        </w:rPr>
        <w:t xml:space="preserve">基准包含九类模型：常速度、常加速度、Kalman风格常速度、普通最小二乘、岭回归、LSTM、GRU、Transformer和TCN。常速度模型由近期运动外推未来位置；常加速度模型进一步估计加速度；Kalman风格模型使用近期速度平滑降低噪声影响；线性模型将历史窗口映射到未来位移；神经网络模型作为常见序列学习基线。</w:t>
      </w:r>
    </w:p>
    <w:p>
      <w:pPr>
        <w:pStyle w:val="BodyText"/>
      </w:pPr>
      <w:r>
        <w:rPr>
          <w:rFonts w:hint="eastAsia"/>
        </w:rPr>
        <w:t xml:space="preserve">主要轨迹指标为ADE、FDE、RMSE和MAE。ADE表示整个预测时域内预测位置与真实位置的平均Haversine距离，FDE表示最后一个预测步的Haversine距离。由于AIS误差分布具有明显偏态，本文除平均ADE外还报告中位ADE和经验95%区间。模型排序以平均ADE为主，同时结合风险预警指标讨论实际意义。</w:t>
      </w:r>
    </w:p>
    <w:bookmarkEnd w:id="16"/>
    <w:bookmarkStart w:id="17" w:name="风险预警评价设计"/>
    <w:p>
      <w:pPr>
        <w:pStyle w:val="Heading2"/>
      </w:pPr>
      <w:r>
        <w:t xml:space="preserve">5 </w:t>
      </w:r>
      <w:r>
        <w:rPr>
          <w:rFonts w:hint="eastAsia"/>
        </w:rPr>
        <w:t xml:space="preserve">风险预警评价设计</w:t>
      </w:r>
    </w:p>
    <w:p>
      <w:pPr>
        <w:pStyle w:val="FirstParagraph"/>
      </w:pPr>
      <w:r>
        <w:rPr>
          <w:rFonts w:hint="eastAsia"/>
        </w:rPr>
        <w:t xml:space="preserve">风险预警实验从时间保持测试集中构造AIS衍生会遇场景。真实未来轨迹用于生成真实预警标签：若预测时域内真实最小CPA低于给定阈值，则该场景为正例。模型预测轨迹用于计算预测CPA/TCPA并产生预测预警标签，进而得到TP、FP、FN和TN。本文报告精确率、召回率、误报率、漏报率、平均提前时间误差和平均CPA绝对误差。</w:t>
      </w:r>
    </w:p>
    <w:p>
      <w:pPr>
        <w:pStyle w:val="BodyText"/>
      </w:pPr>
      <w:r>
        <w:rPr>
          <w:rFonts w:hint="eastAsia"/>
        </w:rPr>
        <w:t xml:space="preserve">当前风险实验使用2,000个场景，来自5,000个评估样本；搜索半径为3.0</w:t>
      </w:r>
      <w:r>
        <w:t xml:space="preserve"> n </w:t>
      </w:r>
      <w:r>
        <w:rPr>
          <w:rFonts w:hint="eastAsia"/>
        </w:rPr>
        <w:t xml:space="preserve">mile，预警阈值为0.5</w:t>
      </w:r>
      <w:r>
        <w:t xml:space="preserve"> n </w:t>
      </w:r>
      <w:r>
        <w:rPr>
          <w:rFonts w:hint="eastAsia"/>
        </w:rPr>
        <w:t xml:space="preserve">mile，真实预警数量为520。该设计用于评价决策支持指标，而非验证自主避碰系统。</w:t>
      </w:r>
    </w:p>
    <w:bookmarkEnd w:id="17"/>
    <w:bookmarkStart w:id="33" w:name="实验结果"/>
    <w:p>
      <w:pPr>
        <w:pStyle w:val="Heading2"/>
      </w:pPr>
      <w:r>
        <w:t xml:space="preserve">6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图2展示主要模型在两种划分下的ADE。Kalman风格常速度模型在时间保持和船舶不相交测试中均为平均ADE最低的模型。常速度模型在时间保持测试中达到2,751.3</w:t>
      </w:r>
      <w:r>
        <w:t xml:space="preserve"> m </w:t>
      </w:r>
      <w:r>
        <w:rPr>
          <w:rFonts w:hint="eastAsia"/>
        </w:rPr>
        <w:t xml:space="preserve">ADE，但在船舶不相交测试中增至9,553.5</w:t>
      </w:r>
      <w:r>
        <w:t xml:space="preserve"> m </w:t>
      </w:r>
      <w:r>
        <w:rPr>
          <w:rFonts w:hint="eastAsia"/>
        </w:rPr>
        <w:t xml:space="preserve">ADE。岭回归在船舶不相交测试中达到3,446.9</w:t>
      </w:r>
      <w:r>
        <w:t xml:space="preserve"> m </w:t>
      </w:r>
      <w:r>
        <w:rPr>
          <w:rFonts w:hint="eastAsia"/>
        </w:rPr>
        <w:t xml:space="preserve">ADE，说明线性统计模型在未见船舶测试中仍具有竞争力。</w:t>
      </w:r>
    </w:p>
    <w:p>
      <w:pPr>
        <w:pStyle w:val="CaptionedFigure"/>
      </w:pPr>
      <w:r>
        <w:drawing>
          <wp:inline>
            <wp:extent cx="5334000" cy="2713218"/>
            <wp:effectExtent b="0" l="0" r="0" t="0"/>
            <wp:docPr descr="图2 两种划分协议下的ADE对比。" title="" id="19" name="Picture"/>
            <a:graphic>
              <a:graphicData uri="http://schemas.openxmlformats.org/drawingml/2006/picture">
                <pic:pic>
                  <pic:nvPicPr>
                    <pic:cNvPr descr="figures/jon_model_performan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两种划分协议下的ADE对比。</w:t>
      </w:r>
    </w:p>
    <w:p>
      <w:pPr>
        <w:pStyle w:val="BodyText"/>
      </w:pPr>
      <w:r>
        <w:rPr>
          <w:rFonts w:hint="eastAsia"/>
        </w:rPr>
        <w:t xml:space="preserve">表1给出完整轨迹预测结果。Kalman-CV在时间保持测试中的中位ADE为8.2</w:t>
      </w:r>
      <w:r>
        <w:t xml:space="preserve"> </w:t>
      </w:r>
      <w:r>
        <w:rPr>
          <w:rFonts w:hint="eastAsia"/>
        </w:rPr>
        <w:t xml:space="preserve">m，在船舶不相交测试中的中位ADE为9.2</w:t>
      </w:r>
      <w:r>
        <w:t xml:space="preserve"> </w:t>
      </w:r>
      <w:r>
        <w:rPr>
          <w:rFonts w:hint="eastAsia"/>
        </w:rPr>
        <w:t xml:space="preserve">m，但平均ADE仍达到公里级。这说明多数短窗口较容易预测，少量困难窗口显著拉高均值。</w:t>
      </w:r>
    </w:p>
    <w:p>
      <w:pPr>
        <w:pStyle w:val="BodyText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轨迹预测结果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平均ADE/m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中位ADE/m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</w:t>
            </w:r>
            <w:r>
              <w:rPr>
                <w:rFonts w:hint="eastAsia"/>
              </w:rPr>
              <w:t xml:space="preserve">ADE区间/m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FDE/m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t xml:space="preserve">Kalman-CV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0.6至5,673.6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0.7至5,357.1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岭回归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451.4至11,189.3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最小二乘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426.1至11,320.0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4,908.7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19,597.5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3,979.9至92,526.6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25,571.8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36,039.2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25,660.5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4,365.6至116,019.1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36,116.8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32,265.2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9,361.0至149,135.1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47,078.0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35,643.0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11,299.8至210,486.8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55,923.5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时间保持测试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常加速度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35,076.6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0.9至64,305.6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76,360.6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t xml:space="preserve">Kalman-CV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0.6至11,946.7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0.8至12,053.7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岭回归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319.1至14,385.8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最小二乘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261.2至12,478.9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14,869.8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5,810.3至67,283.9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24,569.4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51,010.6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35,421.3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8,462.8至151,738.0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50,890.1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24,902.1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4,013.2至95,171.4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34,379.1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47,559.1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33,691.0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10,991.1至138,971.6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45,907.0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船舶不相交测试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常加速度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1.0至37,008.8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67,988.2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当前神经网络基线未支持结构优越性结论。例如Transformer在时间保持测试中的ADE为56,310.7</w:t>
      </w:r>
      <w:r>
        <w:t xml:space="preserve"> </w:t>
      </w:r>
      <w:r>
        <w:rPr>
          <w:rFonts w:hint="eastAsia"/>
        </w:rPr>
        <w:t xml:space="preserve">m，明显高于Kalman-CV和常速度模型。这一结果不能推广为“神经网络不适合AIS预测”，但可以支持一个更稳妥的结论：若缺少严格预处理、调参和划分协议，朴素神经模型可能在短时AIS预测中明显失败。</w:t>
      </w:r>
    </w:p>
    <w:p>
      <w:pPr>
        <w:pStyle w:val="BodyText"/>
      </w:pPr>
      <w:r>
        <w:rPr>
          <w:rFonts w:hint="eastAsia"/>
        </w:rPr>
        <w:t xml:space="preserve">图3展示预测时域内误差随步长增长的情况。该图有助于判断误差是早期即出现，还是主要在预测末端累积。</w:t>
      </w:r>
    </w:p>
    <w:p>
      <w:pPr>
        <w:pStyle w:val="CaptionedFigure"/>
      </w:pPr>
      <w:r>
        <w:drawing>
          <wp:inline>
            <wp:extent cx="5334000" cy="2238815"/>
            <wp:effectExtent b="0" l="0" r="0" t="0"/>
            <wp:docPr descr="图3 15分钟预测时域内的ADE变化。" title="" id="22" name="Picture"/>
            <a:graphic>
              <a:graphicData uri="http://schemas.openxmlformats.org/drawingml/2006/picture">
                <pic:pic>
                  <pic:nvPicPr>
                    <pic:cNvPr descr="figures/jon_horizon_degrada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15分钟预测时域内的ADE变化。</w:t>
      </w:r>
    </w:p>
    <w:p>
      <w:pPr>
        <w:pStyle w:val="BodyText"/>
      </w:pPr>
      <w:r>
        <w:rPr>
          <w:rFonts w:hint="eastAsia"/>
        </w:rPr>
        <w:t xml:space="preserve">图4和表2展示CPA/TCPA风险预警结果。Kalman-CV的精确率为0.963、召回率为0.900；常速度模型的精确率为0.961、召回率为0.894。两者预警表现接近，但Kalman-CV的误报率和漏报率略低。最小二乘模型的误报率和CPA误差更高，说明位置预测误差与风险预警质量并非完全等价。</w:t>
      </w:r>
    </w:p>
    <w:p>
      <w:pPr>
        <w:pStyle w:val="CaptionedFigure"/>
      </w:pPr>
      <w:r>
        <w:drawing>
          <wp:inline>
            <wp:extent cx="5334000" cy="2242889"/>
            <wp:effectExtent b="0" l="0" r="0" t="0"/>
            <wp:docPr descr="图4 CPA/TCPA风险预警分类指标与CPA误差。" title="" id="25" name="Picture"/>
            <a:graphic>
              <a:graphicData uri="http://schemas.openxmlformats.org/drawingml/2006/picture">
                <pic:pic>
                  <pic:nvPicPr>
                    <pic:cNvPr descr="figures/jon_risk_warning_metric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2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CPA/TCPA风险预警分类指标与CPA误差。</w:t>
      </w:r>
    </w:p>
    <w:p>
      <w:pPr>
        <w:pStyle w:val="BodyText"/>
      </w:pPr>
      <w:r>
        <w:rPr>
          <w:rFonts w:hint="eastAsia"/>
        </w:rPr>
        <w:t xml:space="preserve">表2</w:t>
      </w:r>
      <w:r>
        <w:t xml:space="preserve"> </w:t>
      </w:r>
      <w:r>
        <w:rPr>
          <w:rFonts w:hint="eastAsia"/>
        </w:rPr>
        <w:t xml:space="preserve">AIS衍生风险预警指标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误报率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漏报率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CPA误差/n</w:t>
            </w:r>
            <w:r>
              <w:t xml:space="preserve"> mile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Kalman-CV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最小二乘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5给出速度和区域场景切片结果。切片分析不用于宣称完整区域泛化，而是提醒读者：总体误差可能受低速样本、特定航区或少量困难样本影响。未来模型若只改善总体均值，却恶化关键场景切片，其航行安全价值仍需重新评估。</w:t>
      </w:r>
    </w:p>
    <w:p>
      <w:pPr>
        <w:pStyle w:val="CaptionedFigure"/>
      </w:pPr>
      <w:r>
        <w:drawing>
          <wp:inline>
            <wp:extent cx="5334000" cy="2239442"/>
            <wp:effectExtent b="0" l="0" r="0" t="0"/>
            <wp:docPr descr="图5 时间保持测试中的速度与区域切片误差。" title="" id="28" name="Picture"/>
            <a:graphic>
              <a:graphicData uri="http://schemas.openxmlformats.org/drawingml/2006/picture">
                <pic:pic>
                  <pic:nvPicPr>
                    <pic:cNvPr descr="figures/jon_scenario_slice_erro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时间保持测试中的速度与区域切片误差。</w:t>
      </w:r>
    </w:p>
    <w:p>
      <w:pPr>
        <w:pStyle w:val="BodyText"/>
      </w:pPr>
      <w:r>
        <w:rPr>
          <w:rFonts w:hint="eastAsia"/>
        </w:rPr>
        <w:t xml:space="preserve">图6展示风险预警实验中的AIS衍生会遇案例。案例图可以帮助读者判断预警任务是否具有航行解释性，而不是只依赖指标表。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图6 风险预警评价中的AIS衍生会遇案例。" title="" id="31" name="Picture"/>
            <a:graphic>
              <a:graphicData uri="http://schemas.openxmlformats.org/drawingml/2006/picture">
                <pic:pic>
                  <pic:nvPicPr>
                    <pic:cNvPr descr="figures/jon_risk_case_studi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风险预警评价中的AIS衍生会遇案例。</w:t>
      </w:r>
    </w:p>
    <w:bookmarkEnd w:id="33"/>
    <w:bookmarkStart w:id="34" w:name="讨论"/>
    <w:p>
      <w:pPr>
        <w:pStyle w:val="Heading2"/>
      </w:pPr>
      <w:r>
        <w:t xml:space="preserve">7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</w:rPr>
        <w:t xml:space="preserve">本文最重要的结论是保守但具有工程意义：在15分钟短时AIS预测任务中，简单、可解释的运动学基线仍然很难被轻易超越。Kalman风格常速度模型通过对近期速度进行平滑，在两种测试划分中均取得最低ADE。对于航行研究而言，这意味着新模型必须与强基线比较，而不能只与其他神经模型比较。</w:t>
      </w:r>
    </w:p>
    <w:p>
      <w:pPr>
        <w:pStyle w:val="BodyText"/>
      </w:pPr>
      <w:r>
        <w:rPr>
          <w:rFonts w:hint="eastAsia"/>
        </w:rPr>
        <w:t xml:space="preserve">风险预警结果进一步说明，ADE并不是唯一的航行安全指标。Kalman-CV的ADE最低，但常速度模型在当前风险场景中的平均CPA误差略低。两者差异不大，却提醒我们：下游预警指标可能改变或细化对模型优劣的理解。面向航行决策支持的轨迹预测研究应至少包含一种与CPA/TCPA、会遇几何或预警行为相关的指标。</w:t>
      </w:r>
    </w:p>
    <w:p>
      <w:pPr>
        <w:pStyle w:val="BodyText"/>
      </w:pPr>
      <w:r>
        <w:rPr>
          <w:rFonts w:hint="eastAsia"/>
        </w:rPr>
        <w:t xml:space="preserve">项目也具有现实应用意义。只要获取更新的历史AIS数据并按相同流程处理，就可以重新生成当前周期的轨迹预测、模型对比和风险预警候选结果。项目中的</w:t>
      </w:r>
      <w:r>
        <w:rPr>
          <w:rStyle w:val="VerbatimChar"/>
        </w:rPr>
        <w:t xml:space="preserve">predict_latest_ais.py</w:t>
      </w:r>
      <w:r>
        <w:rPr>
          <w:rFonts w:hint="eastAsia"/>
        </w:rPr>
        <w:t xml:space="preserve">已经给出离线最新数据预测与风险预警导出流程。不过，这仍不是实时系统；若要进入实际应用，还需要实时AIS接入、延迟监控、不确定性估计、告警人因评估以及更完整的COLREGs和闭环仿真验证。</w:t>
      </w:r>
    </w:p>
    <w:bookmarkEnd w:id="34"/>
    <w:bookmarkStart w:id="35" w:name="局限性"/>
    <w:p>
      <w:pPr>
        <w:pStyle w:val="Heading2"/>
      </w:pPr>
      <w:r>
        <w:t xml:space="preserve">8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当前证据来自历史AIS数据，并不包含实时AIS流处理。四个数据源日期比单日实验更强，但不能证明全天候、季节性或全球泛化。处理后数据包含有用元数据，但尚未纳入天气、交通管制、精细船型、航道图约束或计划航线等因素。</w:t>
      </w:r>
    </w:p>
    <w:p>
      <w:pPr>
        <w:pStyle w:val="BodyText"/>
      </w:pPr>
      <w:r>
        <w:rPr>
          <w:rFonts w:hint="eastAsia"/>
        </w:rPr>
        <w:t xml:space="preserve">风险预警实验是离线决策支持评估，不是船舶自主避碰验证，也不是COLREGs合规证明。正式运营系统还需要对误报容忍度、漏报后果、人机交互、VTS流程和安全认证进行独立评估。</w:t>
      </w:r>
    </w:p>
    <w:p>
      <w:pPr>
        <w:pStyle w:val="BodyText"/>
      </w:pPr>
      <w:r>
        <w:rPr>
          <w:rFonts w:hint="eastAsia"/>
        </w:rPr>
        <w:t xml:space="preserve">本文仍保留作者、单位、基金、致谢和作者贡献等投稿占位符。正式投稿前，作者需要完成这些信息，并进行参考文献、语言和图表格式的最终审校。</w:t>
      </w:r>
    </w:p>
    <w:bookmarkEnd w:id="35"/>
    <w:bookmarkStart w:id="36" w:name="结论"/>
    <w:p>
      <w:pPr>
        <w:pStyle w:val="Heading2"/>
      </w:pPr>
      <w:r>
        <w:t xml:space="preserve">9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建立了从AIS数据审计、短时轨迹预测、时间/船舶泛化评估、场景切片分析到CPA/TCPA风险预警评价的可复现证据链。当前证据表明，Kalman风格常速度模型在时间保持和船舶不相交测试中均为最优ADE模型，常速度模型仍是强短时基线，朴素神经网络基线在当前协议下未能优于简单模型。本文的实践启示是：航行预测论文在提出复杂模型前，应先证明其相对于强运动学基线、严格划分协议和下游预警指标的实际收益。</w:t>
      </w:r>
    </w:p>
    <w:bookmarkEnd w:id="36"/>
    <w:bookmarkStart w:id="37" w:name="数据与代码可用性"/>
    <w:p>
      <w:pPr>
        <w:pStyle w:val="Heading2"/>
      </w:pPr>
      <w:r>
        <w:rPr>
          <w:rFonts w:hint="eastAsia"/>
        </w:rPr>
        <w:t xml:space="preserve">数据与代码可用性</w:t>
      </w:r>
    </w:p>
    <w:p>
      <w:pPr>
        <w:pStyle w:val="FirstParagraph"/>
      </w:pPr>
      <w:r>
        <w:rPr>
          <w:rFonts w:hint="eastAsia"/>
        </w:rPr>
        <w:t xml:space="preserve">本文由本地仓库</w:t>
      </w:r>
      <w:r>
        <w:rPr>
          <w:rStyle w:val="VerbatimChar"/>
        </w:rPr>
        <w:t xml:space="preserve">ship-prediction-avoidance</w:t>
      </w:r>
      <w:r>
        <w:rPr>
          <w:rFonts w:hint="eastAsia"/>
        </w:rPr>
        <w:t xml:space="preserve">中的证据文件生成。高质量证据包可通过以下命令复现：</w:t>
      </w:r>
    </w:p>
    <w:p>
      <w:pPr>
        <w:pStyle w:val="SourceCode"/>
      </w:pPr>
      <w:r>
        <w:rPr>
          <w:rStyle w:val="VariableTok"/>
        </w:rPr>
        <w:t xml:space="preserve">PYTHON_BIN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.venv/bin/python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scripts/run_high_quality_pipeline.sh</w:t>
      </w:r>
    </w:p>
    <w:p>
      <w:pPr>
        <w:pStyle w:val="FirstParagraph"/>
      </w:pPr>
      <w:r>
        <w:rPr>
          <w:rFonts w:hint="eastAsia"/>
        </w:rPr>
        <w:t xml:space="preserve">正式投稿前，如作者决定公开代码和生成产物，应补充公开仓库地址或归档DOI。</w:t>
      </w:r>
    </w:p>
    <w:bookmarkEnd w:id="37"/>
    <w:bookmarkStart w:id="38" w:name="利益冲突声明"/>
    <w:p>
      <w:pPr>
        <w:pStyle w:val="Heading2"/>
      </w:pPr>
      <w:r>
        <w:rPr>
          <w:rFonts w:hint="eastAsia"/>
        </w:rPr>
        <w:t xml:space="preserve">利益冲突声明</w:t>
      </w:r>
    </w:p>
    <w:p>
      <w:pPr>
        <w:pStyle w:val="FirstParagraph"/>
      </w:pPr>
      <w:r>
        <w:rPr>
          <w:rFonts w:hint="eastAsia"/>
        </w:rPr>
        <w:t xml:space="preserve">作者声明不存在利益冲突。正式投稿时应由所有作者确认。</w:t>
      </w:r>
    </w:p>
    <w:bookmarkEnd w:id="38"/>
    <w:bookmarkStart w:id="39" w:name="作者贡献"/>
    <w:p>
      <w:pPr>
        <w:pStyle w:val="Heading2"/>
      </w:pPr>
      <w:r>
        <w:rPr>
          <w:rFonts w:hint="eastAsia"/>
        </w:rPr>
        <w:t xml:space="preserve">作者贡献</w:t>
      </w:r>
    </w:p>
    <w:p>
      <w:pPr>
        <w:pStyle w:val="FirstParagraph"/>
      </w:pPr>
      <w:r>
        <w:rPr>
          <w:rFonts w:hint="eastAsia"/>
        </w:rPr>
        <w:t xml:space="preserve">［作者1］负责研究设计与论文写作；［作者2］负责AIS预处理和基准实验；［作者3］负责航行风险解释和结果审阅。正式投稿前请替换为真实贡献。</w:t>
      </w:r>
    </w:p>
    <w:bookmarkEnd w:id="39"/>
    <w:bookmarkStart w:id="40" w:name="基金"/>
    <w:p>
      <w:pPr>
        <w:pStyle w:val="Heading2"/>
      </w:pPr>
      <w:r>
        <w:rPr>
          <w:rFonts w:hint="eastAsia"/>
        </w:rPr>
        <w:t xml:space="preserve">基金</w:t>
      </w:r>
    </w:p>
    <w:p>
      <w:pPr>
        <w:pStyle w:val="FirstParagraph"/>
      </w:pPr>
      <w:r>
        <w:rPr>
          <w:rFonts w:hint="eastAsia"/>
        </w:rPr>
        <w:t xml:space="preserve">［投稿前补充基金项目。若无外部资助，可说明“本研究未获得任何公共、商业或非营利机构的专项资助”。］</w:t>
      </w:r>
    </w:p>
    <w:bookmarkEnd w:id="40"/>
    <w:bookmarkStart w:id="41" w:name="ai工具使用声明"/>
    <w:p>
      <w:pPr>
        <w:pStyle w:val="Heading2"/>
      </w:pPr>
      <w:r>
        <w:rPr>
          <w:rFonts w:hint="eastAsia"/>
        </w:rPr>
        <w:t xml:space="preserve">AI工具使用声明</w:t>
      </w:r>
    </w:p>
    <w:p>
      <w:pPr>
        <w:pStyle w:val="FirstParagraph"/>
      </w:pPr>
      <w:r>
        <w:t xml:space="preserve">OpenAI </w:t>
      </w:r>
      <w:r>
        <w:rPr>
          <w:rFonts w:hint="eastAsia"/>
        </w:rPr>
        <w:t xml:space="preserve">Codex/ChatGPT在2026年5月被用于辅助代码生成、论文初稿组织、文档结构整理以及与仓库证据文件的一致性检查。作者对全部内容负责，并将在投稿前完成数值、参考文献、语言和图表的人工审校。</w:t>
      </w:r>
    </w:p>
    <w:bookmarkEnd w:id="41"/>
    <w:bookmarkStart w:id="4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Bai, S., Kolter, J. Z. and Koltun, V. (2018). An Empirical Evaluation of Generic Convolutional and Recurrent Networks for Sequence Modeling. arXiv:1803.01271.</w:t>
      </w:r>
    </w:p>
    <w:p>
      <w:pPr>
        <w:pStyle w:val="BodyText"/>
      </w:pPr>
      <w:r>
        <w:t xml:space="preserve">Bergstra, J. and Bengio, Y. (2012). Random Search for Hyper-Parameter Optimization. Journal of Machine Learning Research, 13, 281-305.</w:t>
      </w:r>
    </w:p>
    <w:p>
      <w:pPr>
        <w:pStyle w:val="BodyText"/>
      </w:pPr>
      <w:r>
        <w:t xml:space="preserve">Cho, K., van Merrienboer, B., Gulcehre, C., Bahdanau, D., Bougares, F., Schwenk, H. and Bengio, Y. (2014). Learning Phrase Representations using RNN Encoder-Decoder for Statistical Machine Translation. Proceedings of the 2014 Conference on Empirical Methods in Natural Language Processing, 1724-1734.</w:t>
      </w:r>
    </w:p>
    <w:p>
      <w:pPr>
        <w:pStyle w:val="BodyText"/>
      </w:pPr>
      <w:r>
        <w:t xml:space="preserve">Dalsnes, B. R., Hexeberg, S., Flaten, A. L., Eriksen, B. O. H. and Brekke, E. F. (2018). The Neighbour Course Distribution Method with Gaussian Mixture Models for AIS-Based Vessel Trajectory Prediction. Proceedings of the 21st International Conference on Information Fusion.</w:t>
      </w:r>
    </w:p>
    <w:p>
      <w:pPr>
        <w:pStyle w:val="BodyText"/>
      </w:pPr>
      <w:r>
        <w:t xml:space="preserve">Demsar, J. (2006). Statistical Comparisons of Classifiers over Multiple Data Sets. Journal of Machine Learning Research, 7, 1-30.</w:t>
      </w:r>
    </w:p>
    <w:p>
      <w:pPr>
        <w:pStyle w:val="BodyText"/>
      </w:pPr>
      <w:r>
        <w:t xml:space="preserve">Endsley, M. R. (1995). Toward a Theory of Situation Awareness in Dynamic Systems. Human Factors, 37, 32-64.</w:t>
      </w:r>
    </w:p>
    <w:p>
      <w:pPr>
        <w:pStyle w:val="BodyText"/>
      </w:pPr>
      <w:r>
        <w:t xml:space="preserve">Fujii, Y. and Tanaka, K. (1971). Traffic Capacity. The Journal of Navigation, 24, 543-552.</w:t>
      </w:r>
    </w:p>
    <w:p>
      <w:pPr>
        <w:pStyle w:val="BodyText"/>
      </w:pPr>
      <w:r>
        <w:t xml:space="preserve">Goodwin, E. M. (1975). A Statistical Study of Ship Domains. The Journal of Navigation, 28, 328-344.</w:t>
      </w:r>
    </w:p>
    <w:p>
      <w:pPr>
        <w:pStyle w:val="BodyText"/>
      </w:pPr>
      <w:r>
        <w:t xml:space="preserve">Hansen, M. G., Jensen, T. K., Lehn-Schioler, T., Melchild, K., Rasmussen, F. M. and Ennemark, F. (2013). Empirical Ship Domain based on AIS Data. The Journal of Navigation, 66, 931-940.</w:t>
      </w:r>
    </w:p>
    <w:p>
      <w:pPr>
        <w:pStyle w:val="BodyText"/>
      </w:pPr>
      <w:r>
        <w:t xml:space="preserve">Hexeberg, S., Flaten, A. L., Eriksen, B. O. H. and Brekke, E. F. (2017). AIS-Based Vessel Trajectory Prediction. Proceedings of the 20th International Conference on Information Fusion.</w:t>
      </w:r>
    </w:p>
    <w:p>
      <w:pPr>
        <w:pStyle w:val="BodyText"/>
      </w:pPr>
      <w:r>
        <w:t xml:space="preserve">Hochreiter, S. and Schmidhuber, J. (1997). Long Short-Term Memory. Neural Computation, 9, 1735-1780.</w:t>
      </w:r>
    </w:p>
    <w:p>
      <w:pPr>
        <w:pStyle w:val="BodyText"/>
      </w:pPr>
      <w:r>
        <w:t xml:space="preserve">International Maritime Organization. (1972). Convention on the International Regulations for Preventing Collisions at Sea, 1972 (COLREGs). https://www.imo.org/en/About/Conventions/Pages/COLREG.aspx. Accessed 16 May 2026.</w:t>
      </w:r>
    </w:p>
    <w:p>
      <w:pPr>
        <w:pStyle w:val="BodyText"/>
      </w:pPr>
      <w:r>
        <w:t xml:space="preserve">Kalman, R. E. (1960). A New Approach to Linear Filtering and Prediction Problems. Journal of Basic Engineering, 82, 35-45.</w:t>
      </w:r>
    </w:p>
    <w:p>
      <w:pPr>
        <w:pStyle w:val="BodyText"/>
      </w:pPr>
      <w:r>
        <w:t xml:space="preserve">Kingma, D. P. and Ba, J. (2015). Adam: A Method for Stochastic Optimization. Proceedings of the International Conference on Learning Representations.</w:t>
      </w:r>
    </w:p>
    <w:p>
      <w:pPr>
        <w:pStyle w:val="BodyText"/>
      </w:pPr>
      <w:r>
        <w:t xml:space="preserve">Leek, J. T. and Peng, R. D. (2015). Reproducible Research Can Still Be Wrong: Adopting a Prevention Approach. Proceedings of the National Academy of Sciences, 112, 1645-1646.</w:t>
      </w:r>
    </w:p>
    <w:p>
      <w:pPr>
        <w:pStyle w:val="BodyText"/>
      </w:pPr>
      <w:r>
        <w:t xml:space="preserve">MarineCadastre.gov. (2024). AIS Data. https://marinecadastre.gov/ais/. Accessed 16 May 2026.</w:t>
      </w:r>
    </w:p>
    <w:p>
      <w:pPr>
        <w:pStyle w:val="BodyText"/>
      </w:pPr>
      <w:r>
        <w:t xml:space="preserve">Millefiori, L. M., Braca, P., Bryan, K. and Willett, P. (2016). Modeling Vessel Kinematics using a Stochastic Mean-Reverting Process for Long-Term Prediction. IEEE Transactions on Aerospace and Electronic Systems, 52, 2313-2330.</w:t>
      </w:r>
    </w:p>
    <w:p>
      <w:pPr>
        <w:pStyle w:val="BodyText"/>
      </w:pPr>
      <w:r>
        <w:t xml:space="preserve">Mou, J. M., van der Tak, C. and Ligteringen, H. (2010). Study on Collision Avoidance in Busy Waterways by using AIS Data. Ocean Engineering, 37, 483-490.</w:t>
      </w:r>
    </w:p>
    <w:p>
      <w:pPr>
        <w:pStyle w:val="BodyText"/>
      </w:pPr>
      <w:r>
        <w:t xml:space="preserve">NOAA Office for Coastal Management. (2026). Marine Cadastre. https://www.coast.noaa.gov/digitalcoast/data/marine-cadastre.html. Accessed 16 May 2026.</w:t>
      </w:r>
    </w:p>
    <w:p>
      <w:pPr>
        <w:pStyle w:val="BodyText"/>
      </w:pPr>
      <w:r>
        <w:t xml:space="preserve">Pallotta, G., Vespe, M. and Bryan, K. (2013). Vessel Pattern Knowledge Discovery from AIS Data: A Framework for Anomaly Detection and Route Prediction. Entropy, 15, 2218-2245.</w:t>
      </w:r>
    </w:p>
    <w:p>
      <w:pPr>
        <w:pStyle w:val="BodyText"/>
      </w:pPr>
      <w:r>
        <w:t xml:space="preserve">Paszke, A., Gross, S., Massa, F., Lerer, A., Bradbury, J., Chanan, G., Killeen, T., Lin, Z., Gimelshein, N., Antiga, L. and others. (2019). PyTorch: An Imperative Style, High-Performance Deep Learning Library. Advances in Neural Information Processing Systems, 32.</w:t>
      </w:r>
    </w:p>
    <w:p>
      <w:pPr>
        <w:pStyle w:val="BodyText"/>
      </w:pPr>
      <w:r>
        <w:t xml:space="preserve">Pedregosa, F., Varoquaux, G., Gramfort, A., Michel, V., Thirion, B., Grisel, O., Blondel, M., Prettenhofer, P., Weiss, R., Dubourg, V. and others. (2011). Scikit-learn: Machine Learning in Python. Journal of Machine Learning Research, 12, 2825-2830.</w:t>
      </w:r>
    </w:p>
    <w:p>
      <w:pPr>
        <w:pStyle w:val="BodyText"/>
      </w:pPr>
      <w:r>
        <w:t xml:space="preserve">Pineau, J., Vincent-Lamarre, P., Sinha, K., Lariviere, V., Beygelzimer, A., d’Alche-Buc, F., Fox, E. and Larochelle, H. (2021). Improving Reproducibility in Machine Learning Research. Journal of Machine Learning Research, 22, 1-20.</w:t>
      </w:r>
    </w:p>
    <w:p>
      <w:pPr>
        <w:pStyle w:val="BodyText"/>
      </w:pPr>
      <w:r>
        <w:t xml:space="preserve">Ristic, B., La Scala, B., Morelande, M. and Gordon, N. (2008). Statistical Analysis of Motion Patterns in AIS Data: Anomaly Detection and Motion Prediction. Proceedings of the 11th International Conference on Information Fusion.</w:t>
      </w:r>
    </w:p>
    <w:p>
      <w:pPr>
        <w:pStyle w:val="BodyText"/>
      </w:pPr>
      <w:r>
        <w:t xml:space="preserve">Sculley, D., Holt, G., Golovin, D., Davydov, E., Phillips, T., Ebner, D., Chaudhary, V., Young, M., Crespo, J. F. and Dennison, D. (2015). Hidden Technical Debt in Machine Learning Systems. Advances in Neural Information Processing Systems, 28.</w:t>
      </w:r>
    </w:p>
    <w:p>
      <w:pPr>
        <w:pStyle w:val="BodyText"/>
      </w:pPr>
      <w:r>
        <w:t xml:space="preserve">Statheros, T., Howells, G. and Maier, K. M. (2008). Autonomous Ship Collision Avoidance Navigation Concepts, Technologies and Techniques. The Journal of Navigation, 61, 129-142.</w:t>
      </w:r>
    </w:p>
    <w:p>
      <w:pPr>
        <w:pStyle w:val="BodyText"/>
      </w:pPr>
      <w:r>
        <w:t xml:space="preserve">Szlapczynski, R. and Szlapczynska, J. (2017). Review of Ship Safety Domains: Models and Applications. Ocean Engineering, 145, 277-289.</w:t>
      </w:r>
    </w:p>
    <w:p>
      <w:pPr>
        <w:pStyle w:val="BodyText"/>
      </w:pPr>
      <w:r>
        <w:t xml:space="preserve">Tu, E., Zhang, G., Rachmawati, L., Rajabally, E. and Huang, G. B. (2018). Exploiting AIS Data for Intelligent Maritime Navigation: A Comprehensive Survey from Data to Methodology. IEEE Transactions on Intelligent Transportation Systems, 19, 1559-1582.</w:t>
      </w:r>
    </w:p>
    <w:p>
      <w:pPr>
        <w:pStyle w:val="BodyText"/>
      </w:pPr>
      <w:r>
        <w:t xml:space="preserve">Vaswani, A., Shazeer, N., Parmar, N., Uszkoreit, J., Jones, L., Gomez, A. N., Kaiser, L. and Polosukhin, I. (2017). Attention Is All You Need. Advances in Neural Information Processing Systems, 30.</w:t>
      </w:r>
    </w:p>
    <w:p>
      <w:pPr>
        <w:pStyle w:val="BodyText"/>
      </w:pPr>
      <w:r>
        <w:t xml:space="preserve">Wilson, G., Bryan, J., Cranston, K., Kitzes, J., Nederbragt, L. and Teal, T. K. (2017). Good Enough Practices in Scientific Computing. PLOS Computational Biology, 13, e1005510.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2026-05-17T02:48:33Z</dcterms:created>
  <dcterms:modified xsi:type="dcterms:W3CDTF">2026-05-17T02:48:33Z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