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40"/>
          <w:szCs w:val="40"/>
        </w:rPr>
        <w:t xml:space="preserve">Deep Generative Models for Synthetic Radio-Frequency Signal Generation and Anomaly Detection</w:t>
      </w:r>
    </w:p>
    <w:p>
      <w:pPr>
        <w:spacing w:after="20"/>
        <w:jc w:val="center"/>
      </w:pPr>
      <w:r>
        <w:rPr>
          <w:rFonts w:ascii="Times New Roman" w:cs="Times New Roman" w:eastAsia="Times New Roman" w:hAnsi="Times New Roman"/>
          <w:sz w:val="24"/>
          <w:szCs w:val="24"/>
        </w:rPr>
        <w:t xml:space="preserve">Tristan Ruel</w:t>
      </w:r>
    </w:p>
    <w:p>
      <w:pPr>
        <w:spacing w:after="20"/>
        <w:jc w:val="center"/>
      </w:pPr>
      <w:r>
        <w:rPr>
          <w:rFonts w:ascii="Times New Roman" w:cs="Times New Roman" w:eastAsia="Times New Roman" w:hAnsi="Times New Roman"/>
          <w:i/>
          <w:iCs/>
          <w:sz w:val="20"/>
          <w:szCs w:val="20"/>
        </w:rPr>
        <w:t xml:space="preserve">Student No. 1012867710</w:t>
      </w:r>
    </w:p>
    <w:p>
      <w:pPr>
        <w:spacing w:after="120"/>
        <w:jc w:val="center"/>
      </w:pPr>
      <w:r>
        <w:rPr>
          <w:rFonts w:ascii="Times New Roman" w:cs="Times New Roman" w:eastAsia="Times New Roman" w:hAnsi="Times New Roman"/>
          <w:sz w:val="20"/>
          <w:szCs w:val="20"/>
        </w:rPr>
        <w:t xml:space="preserve">ECE 1508 — Special Topics in Communication, University of Toronto</w:t>
      </w:r>
    </w:p>
    <w:p>
      <w:pPr>
        <w:sectPr>
          <w:pgSz w:w="12240" w:h="15840" w:orient="portrait"/>
          <w:pgMar w:top="1080" w:right="1000" w:bottom="1080" w:left="1000" w:header="708" w:footer="708" w:gutter="0"/>
          <w:pgNumType/>
          <w:cols w:num="1"/>
          <w:docGrid w:linePitch="360"/>
        </w:sectPr>
      </w:pPr>
    </w:p>
    <w:p>
      <w:pPr>
        <w:spacing w:after="8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Realistic wireless-signal datasets are hard to collect, label, and balance, especially for the noisy, corrupted, or protocol-inconsistent transmissions that matter most for spectrum monitoring. We study whether deep generative models can learn the distribution of valid radio-frequency (RF) signals well enough to both generate realistic class-conditional samples and flag signals that do not fit the learned distribution. On a fully reproducible synthetic corpus of three 2.4 GHz protocol families—Wi-Fi (OFDM), Bluetooth Low Energy (GFSK), and ZigBee (O-QPSK/DSSS)—we implement and compare four conditional models spanning four families: a variational autoencoder (latent-variable), a RealNVP normalizing flow (explicit likelihood), and a denoising diffusion model (DDPM), all on log-magnitude spectrograms, plus a Mamba selective state-space model that is autoregressive over the raw I/Q sequence. Trained only on normal signals, the models are evaluated on class-conditional generation quality and on detecting four corruption types. The explicit-likelihood flow is the strongest detector (ROC-AUC 0.983), the diffusion model is a close second (0.972) and produces the most realistic samples, while the VAE (0.846) and the raw-I/Q Mamba model (0.829) trail; the Mamba model nonetheless yields a clean exact discrete likelihood. We conclude that likelihood-based and denoising models on spectrograms are preferable for RF anomaly detection under limited data.</w:t>
      </w:r>
    </w:p>
    <w:p>
      <w:pPr>
        <w:spacing w:after="120" w:line="24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generative models, normalizing flows, diffusion models, variational autoencoders, state-space models, autoregressive models, RF signals, anomaly detection, spectrograms.</w:t>
      </w:r>
    </w:p>
    <w:p>
      <w:pPr>
        <w:spacing w:after="80" w:before="200"/>
        <w:jc w:val="center"/>
      </w:pPr>
      <w:r>
        <w:rPr>
          <w:rFonts w:ascii="Times New Roman" w:cs="Times New Roman" w:eastAsia="Times New Roman" w:hAnsi="Times New Roman"/>
          <w:b/>
          <w:bCs/>
          <w:caps/>
          <w:sz w:val="20"/>
          <w:szCs w:val="20"/>
        </w:rPr>
        <w:t xml:space="preserve">I.  Introduction</w:t>
      </w:r>
    </w:p>
    <w:p>
      <w:pPr>
        <w:spacing w:after="0" w:line="240"/>
        <w:ind w:firstLine="200"/>
        <w:jc w:val="both"/>
      </w:pPr>
      <w:r>
        <w:rPr>
          <w:rFonts w:ascii="Times New Roman" w:cs="Times New Roman" w:eastAsia="Times New Roman" w:hAnsi="Times New Roman"/>
          <w:sz w:val="20"/>
          <w:szCs w:val="20"/>
        </w:rPr>
        <w:t xml:space="preserve">Wireless spectrum monitoring increasingly relies on machine-learning models that must recognize not only known transmissions but also unexpected ones—interference, malformed packets, spoofed emitters, or collisions between protocols. The central obstacle is data: realistic RF datasets are expensive to capture, tedious to label, and almost always imbalanced, with anomalous or corrupted transmissions rare by definition. This is precisely the setting in which deep generative modelling is attractive. If a model can learn the distribution of </w:t>
      </w:r>
      <w:r>
        <w:rPr>
          <w:rFonts w:ascii="Times New Roman" w:cs="Times New Roman" w:eastAsia="Times New Roman" w:hAnsi="Times New Roman"/>
          <w:i/>
          <w:iCs/>
          <w:sz w:val="20"/>
          <w:szCs w:val="20"/>
        </w:rPr>
        <w:t xml:space="preserve">valid</w:t>
      </w:r>
      <w:r>
        <w:rPr>
          <w:rFonts w:ascii="Times New Roman" w:cs="Times New Roman" w:eastAsia="Times New Roman" w:hAnsi="Times New Roman"/>
          <w:sz w:val="20"/>
          <w:szCs w:val="20"/>
        </w:rPr>
        <w:t xml:space="preserve"> signals, it can both synthesize new labelled examples to rebalance a dataset and, using the same learned distribution, score how well any new signal fits—turning generation into an unsupervised anomaly detector.</w:t>
      </w:r>
    </w:p>
    <w:p>
      <w:pPr>
        <w:spacing w:after="0" w:line="240"/>
        <w:ind w:firstLine="200"/>
        <w:jc w:val="both"/>
      </w:pPr>
      <w:r>
        <w:rPr>
          <w:rFonts w:ascii="Times New Roman" w:cs="Times New Roman" w:eastAsia="Times New Roman" w:hAnsi="Times New Roman"/>
          <w:sz w:val="20"/>
          <w:szCs w:val="20"/>
        </w:rPr>
        <w:t xml:space="preserve">This project asks a focused question: which family of deep generative model is most effective for RF sample generation and anomaly detection under limited data? We compare four conditional models, each representing a distinct course topic: an explicit maximum-likelihood model (a </w:t>
      </w:r>
      <w:r>
        <w:rPr>
          <w:rFonts w:ascii="Times New Roman" w:cs="Times New Roman" w:eastAsia="Times New Roman" w:hAnsi="Times New Roman"/>
          <w:b/>
          <w:bCs/>
          <w:sz w:val="20"/>
          <w:szCs w:val="20"/>
        </w:rPr>
        <w:t xml:space="preserve">RealNVP normalizing flow</w:t>
      </w:r>
      <w:r>
        <w:rPr>
          <w:rFonts w:ascii="Times New Roman" w:cs="Times New Roman" w:eastAsia="Times New Roman" w:hAnsi="Times New Roman"/>
          <w:sz w:val="20"/>
          <w:szCs w:val="20"/>
        </w:rPr>
        <w:t xml:space="preserve">), a latent-variable model (a </w:t>
      </w:r>
      <w:r>
        <w:rPr>
          <w:rFonts w:ascii="Times New Roman" w:cs="Times New Roman" w:eastAsia="Times New Roman" w:hAnsi="Times New Roman"/>
          <w:b/>
          <w:bCs/>
          <w:sz w:val="20"/>
          <w:szCs w:val="20"/>
        </w:rPr>
        <w:t xml:space="preserve">variational autoencoder</w:t>
      </w:r>
      <w:r>
        <w:rPr>
          <w:rFonts w:ascii="Times New Roman" w:cs="Times New Roman" w:eastAsia="Times New Roman" w:hAnsi="Times New Roman"/>
          <w:sz w:val="20"/>
          <w:szCs w:val="20"/>
        </w:rPr>
        <w:t xml:space="preserve">, VAE), a denoising model (a </w:t>
      </w:r>
      <w:r>
        <w:rPr>
          <w:rFonts w:ascii="Times New Roman" w:cs="Times New Roman" w:eastAsia="Times New Roman" w:hAnsi="Times New Roman"/>
          <w:b/>
          <w:bCs/>
          <w:sz w:val="20"/>
          <w:szCs w:val="20"/>
        </w:rPr>
        <w:t xml:space="preserve">denoising diffusion probabilistic model</w:t>
      </w:r>
      <w:r>
        <w:rPr>
          <w:rFonts w:ascii="Times New Roman" w:cs="Times New Roman" w:eastAsia="Times New Roman" w:hAnsi="Times New Roman"/>
          <w:sz w:val="20"/>
          <w:szCs w:val="20"/>
        </w:rPr>
        <w:t xml:space="preserve">, DDPM), and an </w:t>
      </w:r>
      <w:r>
        <w:rPr>
          <w:rFonts w:ascii="Times New Roman" w:cs="Times New Roman" w:eastAsia="Times New Roman" w:hAnsi="Times New Roman"/>
          <w:b/>
          <w:bCs/>
          <w:sz w:val="20"/>
          <w:szCs w:val="20"/>
        </w:rPr>
        <w:t xml:space="preserve">autoregressive</w:t>
      </w:r>
      <w:r>
        <w:rPr>
          <w:rFonts w:ascii="Times New Roman" w:cs="Times New Roman" w:eastAsia="Times New Roman" w:hAnsi="Times New Roman"/>
          <w:sz w:val="20"/>
          <w:szCs w:val="20"/>
        </w:rPr>
        <w:t xml:space="preserve"> model — a </w:t>
      </w:r>
      <w:r>
        <w:rPr>
          <w:rFonts w:ascii="Times New Roman" w:cs="Times New Roman" w:eastAsia="Times New Roman" w:hAnsi="Times New Roman"/>
          <w:b/>
          <w:bCs/>
          <w:sz w:val="20"/>
          <w:szCs w:val="20"/>
        </w:rPr>
        <w:t xml:space="preserve">Mamba</w:t>
      </w:r>
      <w:r>
        <w:rPr>
          <w:rFonts w:ascii="Times New Roman" w:cs="Times New Roman" w:eastAsia="Times New Roman" w:hAnsi="Times New Roman"/>
          <w:sz w:val="20"/>
          <w:szCs w:val="20"/>
        </w:rPr>
        <w:t xml:space="preserve"> selective state-space model over the raw I/Q sequence. All are conditioned on the protocol class, exercising conditional generation as well.</w:t>
      </w:r>
    </w:p>
    <w:p>
      <w:pPr>
        <w:spacing w:after="0" w:line="240"/>
        <w:ind w:firstLine="200"/>
        <w:jc w:val="both"/>
      </w:pPr>
      <w:r>
        <w:rPr>
          <w:rFonts w:ascii="Times New Roman" w:cs="Times New Roman" w:eastAsia="Times New Roman" w:hAnsi="Times New Roman"/>
          <w:sz w:val="20"/>
          <w:szCs w:val="20"/>
        </w:rPr>
        <w:t xml:space="preserve">Our contributions are: (i) a compact, dependency-light and fully reproducible synthetic-RF pipeline for three protocol families and four anomaly types; (ii) conditional implementations of a VAE, a RealNVP flow, a DDPM (on a shared spectrogram representation) and a Mamba autoregressive model (on raw I/Q), so that both the model family and the signal domain are compared; and (iii) a controlled comparison on class-conditional generation quality and anomaly detection, with an interpretation of the trade-offs each family offers.</w:t>
      </w:r>
    </w:p>
    <w:p>
      <w:pPr>
        <w:spacing w:after="80" w:before="200"/>
        <w:jc w:val="center"/>
      </w:pPr>
      <w:r>
        <w:rPr>
          <w:rFonts w:ascii="Times New Roman" w:cs="Times New Roman" w:eastAsia="Times New Roman" w:hAnsi="Times New Roman"/>
          <w:b/>
          <w:bCs/>
          <w:caps/>
          <w:sz w:val="20"/>
          <w:szCs w:val="20"/>
        </w:rPr>
        <w:t xml:space="preserve">II.  Background and Related Work</w:t>
      </w:r>
    </w:p>
    <w:p>
      <w:pPr>
        <w:spacing w:after="0" w:line="240"/>
        <w:ind w:firstLine="200"/>
        <w:jc w:val="both"/>
      </w:pPr>
      <w:r>
        <w:rPr>
          <w:rFonts w:ascii="Times New Roman" w:cs="Times New Roman" w:eastAsia="Times New Roman" w:hAnsi="Times New Roman"/>
          <w:sz w:val="20"/>
          <w:szCs w:val="20"/>
        </w:rPr>
        <w:t xml:space="preserve">Four generative paradigms are relevant. </w:t>
      </w:r>
      <w:r>
        <w:rPr>
          <w:rFonts w:ascii="Times New Roman" w:cs="Times New Roman" w:eastAsia="Times New Roman" w:hAnsi="Times New Roman"/>
          <w:b/>
          <w:bCs/>
          <w:sz w:val="20"/>
          <w:szCs w:val="20"/>
        </w:rPr>
        <w:t xml:space="preserve">Variational autoencoders</w:t>
      </w:r>
      <w:r>
        <w:rPr>
          <w:rFonts w:ascii="Times New Roman" w:cs="Times New Roman" w:eastAsia="Times New Roman" w:hAnsi="Times New Roman"/>
          <w:sz w:val="20"/>
          <w:szCs w:val="20"/>
        </w:rPr>
        <w:t xml:space="preserve"> [1] optimize a variational lower bound (the ELBO) on the data log-likelihood and give a fast amortized encoder; their reconstructions are famously smooth, and reconstruction error or the negative ELBO is a common anomaly signal [7]. </w:t>
      </w:r>
      <w:r>
        <w:rPr>
          <w:rFonts w:ascii="Times New Roman" w:cs="Times New Roman" w:eastAsia="Times New Roman" w:hAnsi="Times New Roman"/>
          <w:b/>
          <w:bCs/>
          <w:sz w:val="20"/>
          <w:szCs w:val="20"/>
        </w:rPr>
        <w:t xml:space="preserve">Normalizing flows</w:t>
      </w:r>
      <w:r>
        <w:rPr>
          <w:rFonts w:ascii="Times New Roman" w:cs="Times New Roman" w:eastAsia="Times New Roman" w:hAnsi="Times New Roman"/>
          <w:sz w:val="20"/>
          <w:szCs w:val="20"/>
        </w:rPr>
        <w:t xml:space="preserve"> [2],[6] build an exact, invertible map to a simple base density, yielding an exact log-likelihood—appealing for anomaly detection, though prior work shows flows can assign high likelihood to some out-of-distribution inputs [5], motivating an empirical check. </w:t>
      </w:r>
      <w:r>
        <w:rPr>
          <w:rFonts w:ascii="Times New Roman" w:cs="Times New Roman" w:eastAsia="Times New Roman" w:hAnsi="Times New Roman"/>
          <w:b/>
          <w:bCs/>
          <w:sz w:val="20"/>
          <w:szCs w:val="20"/>
        </w:rPr>
        <w:t xml:space="preserve">Diffusion models</w:t>
      </w:r>
      <w:r>
        <w:rPr>
          <w:rFonts w:ascii="Times New Roman" w:cs="Times New Roman" w:eastAsia="Times New Roman" w:hAnsi="Times New Roman"/>
          <w:sz w:val="20"/>
          <w:szCs w:val="20"/>
        </w:rPr>
        <w:t xml:space="preserve"> [3] learn to reverse a gradual noising process and currently set the standard for sample fidelity; the network's denoising error at intermediate noise levels doubles as an anomaly score. </w:t>
      </w:r>
      <w:r>
        <w:rPr>
          <w:rFonts w:ascii="Times New Roman" w:cs="Times New Roman" w:eastAsia="Times New Roman" w:hAnsi="Times New Roman"/>
          <w:b/>
          <w:bCs/>
          <w:sz w:val="20"/>
          <w:szCs w:val="20"/>
        </w:rPr>
        <w:t xml:space="preserve">Autoregressive models</w:t>
      </w:r>
      <w:r>
        <w:rPr>
          <w:rFonts w:ascii="Times New Roman" w:cs="Times New Roman" w:eastAsia="Times New Roman" w:hAnsi="Times New Roman"/>
          <w:sz w:val="20"/>
          <w:szCs w:val="20"/>
        </w:rPr>
        <w:t xml:space="preserve"> factorize the joint likelihood into a product of conditionals; the </w:t>
      </w:r>
      <w:r>
        <w:rPr>
          <w:rFonts w:ascii="Times New Roman" w:cs="Times New Roman" w:eastAsia="Times New Roman" w:hAnsi="Times New Roman"/>
          <w:b/>
          <w:bCs/>
          <w:sz w:val="20"/>
          <w:szCs w:val="20"/>
        </w:rPr>
        <w:t xml:space="preserve">Mamba</w:t>
      </w:r>
      <w:r>
        <w:rPr>
          <w:rFonts w:ascii="Times New Roman" w:cs="Times New Roman" w:eastAsia="Times New Roman" w:hAnsi="Times New Roman"/>
          <w:sz w:val="20"/>
          <w:szCs w:val="20"/>
        </w:rPr>
        <w:t xml:space="preserve"> selective state-space model [8] realizes this in linear time with a constant-size state, a strong fit for long raw-signal sequences and a source of exact discrete likelihoods.</w:t>
      </w:r>
    </w:p>
    <w:p>
      <w:pPr>
        <w:spacing w:after="0" w:line="240"/>
        <w:ind w:firstLine="200"/>
        <w:jc w:val="both"/>
      </w:pPr>
      <w:r>
        <w:rPr>
          <w:rFonts w:ascii="Times New Roman" w:cs="Times New Roman" w:eastAsia="Times New Roman" w:hAnsi="Times New Roman"/>
          <w:sz w:val="20"/>
          <w:szCs w:val="20"/>
        </w:rPr>
        <w:t xml:space="preserve">In the RF domain, deep learning is well established for modulation classification [4], but generative modelling of RF and its use for anomaly detection is comparatively underexplored, and rarely compares model families head-to-head on a shared representation—the gap this project targets.</w:t>
      </w:r>
    </w:p>
    <w:p>
      <w:pPr>
        <w:spacing w:after="80" w:before="200"/>
        <w:jc w:val="center"/>
      </w:pPr>
      <w:r>
        <w:rPr>
          <w:rFonts w:ascii="Times New Roman" w:cs="Times New Roman" w:eastAsia="Times New Roman" w:hAnsi="Times New Roman"/>
          <w:b/>
          <w:bCs/>
          <w:caps/>
          <w:sz w:val="20"/>
          <w:szCs w:val="20"/>
        </w:rPr>
        <w:t xml:space="preserve">III.  Method</w:t>
      </w:r>
    </w:p>
    <w:p>
      <w:pPr>
        <w:spacing w:after="40" w:before="100"/>
      </w:pPr>
      <w:r>
        <w:rPr>
          <w:rFonts w:ascii="Times New Roman" w:cs="Times New Roman" w:eastAsia="Times New Roman" w:hAnsi="Times New Roman"/>
          <w:i/>
          <w:iCs/>
          <w:sz w:val="20"/>
          <w:szCs w:val="20"/>
        </w:rPr>
        <w:t xml:space="preserve">A. Data and Representation</w:t>
      </w:r>
    </w:p>
    <w:p>
      <w:pPr>
        <w:spacing w:after="0" w:line="240"/>
        <w:ind w:firstLine="200"/>
        <w:jc w:val="both"/>
      </w:pPr>
      <w:r>
        <w:rPr>
          <w:rFonts w:ascii="Times New Roman" w:cs="Times New Roman" w:eastAsia="Times New Roman" w:hAnsi="Times New Roman"/>
          <w:sz w:val="20"/>
          <w:szCs w:val="20"/>
        </w:rPr>
        <w:t xml:space="preserve">Each example is a window of complex baseband I/Q samples synthesized from compact, protocol-like models implemented in pure NumPy (no SDR or MATLAB dependency), so the entire dataset is reproducible from a seed. Wi-Fi is modelled as OFDM (64-point IFFT, 16-sample cyclic prefix, 52 QPSK sub-carriers, boosted comb pilots), giving a wideband block structure; BLE as Gaussian-smoothed 2-FSK (modulation index ≈ 0.5), a narrowband constant-envelope tone; and ZigBee as O-QPSK with 16-chip DSSS spreading and a half-chip quadrature offset. Normal signals receive bounded nuisance variation: AWGN at 8–30 dB SNR, a small carrier offset, and random gain.</w:t>
      </w:r>
    </w:p>
    <w:p>
      <w:pPr>
        <w:spacing w:after="0" w:line="240"/>
        <w:ind w:firstLine="200"/>
        <w:jc w:val="both"/>
      </w:pPr>
      <w:r>
        <w:rPr>
          <w:rFonts w:ascii="Times New Roman" w:cs="Times New Roman" w:eastAsia="Times New Roman" w:hAnsi="Times New Roman"/>
          <w:sz w:val="20"/>
          <w:szCs w:val="20"/>
        </w:rPr>
        <w:t xml:space="preserve">Every window is converted to a single-channel </w:t>
      </w:r>
      <w:r>
        <w:rPr>
          <w:rFonts w:ascii="Times New Roman" w:cs="Times New Roman" w:eastAsia="Times New Roman" w:hAnsi="Times New Roman"/>
          <w:b/>
          <w:bCs/>
          <w:sz w:val="20"/>
          <w:szCs w:val="20"/>
        </w:rPr>
        <w:t xml:space="preserve">32×32 log-magnitude STFT spectrogram</w:t>
      </w:r>
      <w:r>
        <w:rPr>
          <w:rFonts w:ascii="Times New Roman" w:cs="Times New Roman" w:eastAsia="Times New Roman" w:hAnsi="Times New Roman"/>
          <w:sz w:val="20"/>
          <w:szCs w:val="20"/>
        </w:rPr>
        <w:t xml:space="preserve"> (32-sample Hann window, 50% overlap, two-sided FFT, peak-normalized to [0,1] over a 45 dB range). Peak normalization removes absolute-gain nuisance so the models focus on spectro-temporal structure. All three models share this representation for a fair comparison. Fig. 1 shows real examples (top three rows) and the four anomaly types.</w:t>
      </w:r>
    </w:p>
    <w:p>
      <w:pPr>
        <w:spacing w:after="40" w:before="120"/>
        <w:jc w:val="center"/>
      </w:pPr>
      <w:r>
        <w:drawing>
          <wp:inline distT="0" distB="0" distL="0" distR="0">
            <wp:extent cx="3048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3562350"/>
                    </a:xfrm>
                    <a:prstGeom prst="rect">
                      <a:avLst/>
                    </a:prstGeom>
                  </pic:spPr>
                </pic:pic>
              </a:graphicData>
            </a:graphic>
          </wp:inline>
        </w:drawing>
      </w:r>
    </w:p>
    <w:p>
      <w:pPr>
        <w:spacing w:after="140"/>
        <w:jc w:val="center"/>
      </w:pPr>
      <w:r>
        <w:rPr>
          <w:rFonts w:ascii="Times New Roman" w:cs="Times New Roman" w:eastAsia="Times New Roman" w:hAnsi="Times New Roman"/>
          <w:sz w:val="18"/>
          <w:szCs w:val="18"/>
        </w:rPr>
        <w:t xml:space="preserve">Fig. 1.  Real protocol spectrograms (top three rows: Wi-Fi, BLE, ZigBee) and the four anomaly types (bottom four rows: heavy noise, frequency shift, timing corruption, protocol mixing).</w:t>
      </w:r>
    </w:p>
    <w:p>
      <w:pPr>
        <w:spacing w:after="0" w:line="240"/>
        <w:ind w:firstLine="200"/>
        <w:jc w:val="both"/>
      </w:pPr>
      <w:r>
        <w:rPr>
          <w:rFonts w:ascii="Times New Roman" w:cs="Times New Roman" w:eastAsia="Times New Roman" w:hAnsi="Times New Roman"/>
          <w:b/>
          <w:bCs/>
          <w:sz w:val="20"/>
          <w:szCs w:val="20"/>
        </w:rPr>
        <w:t xml:space="preserve">Anomalies</w:t>
      </w:r>
      <w:r>
        <w:rPr>
          <w:rFonts w:ascii="Times New Roman" w:cs="Times New Roman" w:eastAsia="Times New Roman" w:hAnsi="Times New Roman"/>
          <w:sz w:val="20"/>
          <w:szCs w:val="20"/>
        </w:rPr>
        <w:t xml:space="preserve"> are valid signals pushed out of distribution four ways, matching the failure modes in the project brief: </w:t>
      </w:r>
      <w:r>
        <w:rPr>
          <w:rFonts w:ascii="Times New Roman" w:cs="Times New Roman" w:eastAsia="Times New Roman" w:hAnsi="Times New Roman"/>
          <w:i/>
          <w:iCs/>
          <w:sz w:val="20"/>
          <w:szCs w:val="20"/>
        </w:rPr>
        <w:t xml:space="preserve">heavy noise</w:t>
      </w:r>
      <w:r>
        <w:rPr>
          <w:rFonts w:ascii="Times New Roman" w:cs="Times New Roman" w:eastAsia="Times New Roman" w:hAnsi="Times New Roman"/>
          <w:sz w:val="20"/>
          <w:szCs w:val="20"/>
        </w:rPr>
        <w:t xml:space="preserve"> (SNR −6 to 4 dB), </w:t>
      </w:r>
      <w:r>
        <w:rPr>
          <w:rFonts w:ascii="Times New Roman" w:cs="Times New Roman" w:eastAsia="Times New Roman" w:hAnsi="Times New Roman"/>
          <w:i/>
          <w:iCs/>
          <w:sz w:val="20"/>
          <w:szCs w:val="20"/>
        </w:rPr>
        <w:t xml:space="preserve">frequency shift</w:t>
      </w:r>
      <w:r>
        <w:rPr>
          <w:rFonts w:ascii="Times New Roman" w:cs="Times New Roman" w:eastAsia="Times New Roman" w:hAnsi="Times New Roman"/>
          <w:sz w:val="20"/>
          <w:szCs w:val="20"/>
        </w:rPr>
        <w:t xml:space="preserve"> (a large carrier offset placing energy at the band edge), </w:t>
      </w:r>
      <w:r>
        <w:rPr>
          <w:rFonts w:ascii="Times New Roman" w:cs="Times New Roman" w:eastAsia="Times New Roman" w:hAnsi="Times New Roman"/>
          <w:i/>
          <w:iCs/>
          <w:sz w:val="20"/>
          <w:szCs w:val="20"/>
        </w:rPr>
        <w:t xml:space="preserve">timing corruption</w:t>
      </w:r>
      <w:r>
        <w:rPr>
          <w:rFonts w:ascii="Times New Roman" w:cs="Times New Roman" w:eastAsia="Times New Roman" w:hAnsi="Times New Roman"/>
          <w:sz w:val="20"/>
          <w:szCs w:val="20"/>
        </w:rPr>
        <w:t xml:space="preserve"> (blanking gaps plus a spliced/repeated chunk), and </w:t>
      </w:r>
      <w:r>
        <w:rPr>
          <w:rFonts w:ascii="Times New Roman" w:cs="Times New Roman" w:eastAsia="Times New Roman" w:hAnsi="Times New Roman"/>
          <w:i/>
          <w:iCs/>
          <w:sz w:val="20"/>
          <w:szCs w:val="20"/>
        </w:rPr>
        <w:t xml:space="preserve">protocol mixing</w:t>
      </w:r>
      <w:r>
        <w:rPr>
          <w:rFonts w:ascii="Times New Roman" w:cs="Times New Roman" w:eastAsia="Times New Roman" w:hAnsi="Times New Roman"/>
          <w:sz w:val="20"/>
          <w:szCs w:val="20"/>
        </w:rPr>
        <w:t xml:space="preserve"> (two different protocols summed at comparable power). The dataset comprises 6000 training, 1200 validation and 1500 test normal signals (balanced across classes) plus 1500 held-out anomalies used only at test time.</w:t>
      </w:r>
    </w:p>
    <w:p>
      <w:pPr>
        <w:spacing w:after="40" w:before="100"/>
      </w:pPr>
      <w:r>
        <w:rPr>
          <w:rFonts w:ascii="Times New Roman" w:cs="Times New Roman" w:eastAsia="Times New Roman" w:hAnsi="Times New Roman"/>
          <w:i/>
          <w:iCs/>
          <w:sz w:val="20"/>
          <w:szCs w:val="20"/>
        </w:rPr>
        <w:t xml:space="preserve">B. Generative Models</w:t>
      </w:r>
    </w:p>
    <w:p>
      <w:pPr>
        <w:spacing w:after="0" w:line="240"/>
        <w:ind w:firstLine="200"/>
        <w:jc w:val="both"/>
      </w:pPr>
      <w:r>
        <w:rPr>
          <w:rFonts w:ascii="Times New Roman" w:cs="Times New Roman" w:eastAsia="Times New Roman" w:hAnsi="Times New Roman"/>
          <w:sz w:val="20"/>
          <w:szCs w:val="20"/>
        </w:rPr>
        <w:t xml:space="preserve">The first three models are class-conditional and share the spectrogram. The </w:t>
      </w:r>
      <w:r>
        <w:rPr>
          <w:rFonts w:ascii="Times New Roman" w:cs="Times New Roman" w:eastAsia="Times New Roman" w:hAnsi="Times New Roman"/>
          <w:b/>
          <w:bCs/>
          <w:sz w:val="20"/>
          <w:szCs w:val="20"/>
        </w:rPr>
        <w:t xml:space="preserve">VAE</w:t>
      </w:r>
      <w:r>
        <w:rPr>
          <w:rFonts w:ascii="Times New Roman" w:cs="Times New Roman" w:eastAsia="Times New Roman" w:hAnsi="Times New Roman"/>
          <w:sz w:val="20"/>
          <w:szCs w:val="20"/>
        </w:rPr>
        <w:t xml:space="preserve"> uses a convolutional encoder–decoder with a 32-dimensional latent and a class embedding, trained by maximizing the ELBO (Bernoulli reconstruction plus KL to a standard-normal prior). The </w:t>
      </w:r>
      <w:r>
        <w:rPr>
          <w:rFonts w:ascii="Times New Roman" w:cs="Times New Roman" w:eastAsia="Times New Roman" w:hAnsi="Times New Roman"/>
          <w:b/>
          <w:bCs/>
          <w:sz w:val="20"/>
          <w:szCs w:val="20"/>
        </w:rPr>
        <w:t xml:space="preserve">RealNVP flow</w:t>
      </w:r>
      <w:r>
        <w:rPr>
          <w:rFonts w:ascii="Times New Roman" w:cs="Times New Roman" w:eastAsia="Times New Roman" w:hAnsi="Times New Roman"/>
          <w:sz w:val="20"/>
          <w:szCs w:val="20"/>
        </w:rPr>
        <w:t xml:space="preserve"> maps the bounded spectrogram to R via a logit transform (Jacobian tracked) followed by eight class-conditioned affine coupling layers with alternating masks, giving an exact log-likelihood; coupling-layer invertibility is unit-tested. The </w:t>
      </w:r>
      <w:r>
        <w:rPr>
          <w:rFonts w:ascii="Times New Roman" w:cs="Times New Roman" w:eastAsia="Times New Roman" w:hAnsi="Times New Roman"/>
          <w:b/>
          <w:bCs/>
          <w:sz w:val="20"/>
          <w:szCs w:val="20"/>
        </w:rPr>
        <w:t xml:space="preserve">DDPM</w:t>
      </w:r>
      <w:r>
        <w:rPr>
          <w:rFonts w:ascii="Times New Roman" w:cs="Times New Roman" w:eastAsia="Times New Roman" w:hAnsi="Times New Roman"/>
          <w:sz w:val="20"/>
          <w:szCs w:val="20"/>
        </w:rPr>
        <w:t xml:space="preserve"> trains a compact class-conditioned U-Net (sinusoidal timestep and class embeddings) to predict the noise added at a random step of a 400-step linear schedule; class-conditional samples come from ancestral sampling.</w:t>
      </w:r>
    </w:p>
    <w:p>
      <w:pPr>
        <w:spacing w:after="0" w:line="240"/>
        <w:ind w:firstLine="200"/>
        <w:jc w:val="both"/>
      </w:pPr>
      <w:r>
        <w:rPr>
          <w:rFonts w:ascii="Times New Roman" w:cs="Times New Roman" w:eastAsia="Times New Roman" w:hAnsi="Times New Roman"/>
          <w:sz w:val="20"/>
          <w:szCs w:val="20"/>
        </w:rPr>
        <w:t xml:space="preserve">The fourth model, </w:t>
      </w:r>
      <w:r>
        <w:rPr>
          <w:rFonts w:ascii="Times New Roman" w:cs="Times New Roman" w:eastAsia="Times New Roman" w:hAnsi="Times New Roman"/>
          <w:b/>
          <w:bCs/>
          <w:sz w:val="20"/>
          <w:szCs w:val="20"/>
        </w:rPr>
        <w:t xml:space="preserve">Mamba</w:t>
      </w:r>
      <w:r>
        <w:rPr>
          <w:rFonts w:ascii="Times New Roman" w:cs="Times New Roman" w:eastAsia="Times New Roman" w:hAnsi="Times New Roman"/>
          <w:sz w:val="20"/>
          <w:szCs w:val="20"/>
        </w:rPr>
        <w:t xml:space="preserve">, is autoregressive over the </w:t>
      </w:r>
      <w:r>
        <w:rPr>
          <w:rFonts w:ascii="Times New Roman" w:cs="Times New Roman" w:eastAsia="Times New Roman" w:hAnsi="Times New Roman"/>
          <w:i/>
          <w:iCs/>
          <w:sz w:val="20"/>
          <w:szCs w:val="20"/>
        </w:rPr>
        <w:t xml:space="preserve">raw I/Q sequence</w:t>
      </w:r>
      <w:r>
        <w:rPr>
          <w:rFonts w:ascii="Times New Roman" w:cs="Times New Roman" w:eastAsia="Times New Roman" w:hAnsi="Times New Roman"/>
          <w:sz w:val="20"/>
          <w:szCs w:val="20"/>
        </w:rPr>
        <w:t xml:space="preserve"> rather than the spectrogram. Each I and Q sample is mu-law companded and quantized to 256 levels; a stack of Mamba selective state-space (SSM) blocks [8] models the token stream causally, factorizing p(x)=∏_t p(I_t|past) p(Q_t|past,I_t) with softmax heads. This gives an exact </w:t>
      </w:r>
      <w:r>
        <w:rPr>
          <w:rFonts w:ascii="Times New Roman" w:cs="Times New Roman" w:eastAsia="Times New Roman" w:hAnsi="Times New Roman"/>
          <w:i/>
          <w:iCs/>
          <w:sz w:val="20"/>
          <w:szCs w:val="20"/>
        </w:rPr>
        <w:t xml:space="preserve">discrete</w:t>
      </w:r>
      <w:r>
        <w:rPr>
          <w:rFonts w:ascii="Times New Roman" w:cs="Times New Roman" w:eastAsia="Times New Roman" w:hAnsi="Times New Roman"/>
          <w:sz w:val="20"/>
          <w:szCs w:val="20"/>
        </w:rPr>
        <w:t xml:space="preserve"> log-likelihood (a non-negative bits/dim) and constant-memory recurrent sampling. An SSM processes a length-L sequence in O(L) time with a fixed state, scaling to long I/Q windows far better than a quadratic Transformer. We implement the selective scan in portable pure PyTorch, using an exact chunked form (verified against the naive recurrence) for a roughly 40x training speed-up.</w:t>
      </w:r>
    </w:p>
    <w:p>
      <w:pPr>
        <w:spacing w:after="40" w:before="100"/>
      </w:pPr>
      <w:r>
        <w:rPr>
          <w:rFonts w:ascii="Times New Roman" w:cs="Times New Roman" w:eastAsia="Times New Roman" w:hAnsi="Times New Roman"/>
          <w:i/>
          <w:iCs/>
          <w:sz w:val="20"/>
          <w:szCs w:val="20"/>
        </w:rPr>
        <w:t xml:space="preserve">C. Anomaly Scoring and Metrics</w:t>
      </w:r>
    </w:p>
    <w:p>
      <w:pPr>
        <w:spacing w:after="0" w:line="240"/>
        <w:ind w:firstLine="200"/>
        <w:jc w:val="both"/>
      </w:pPr>
      <w:r>
        <w:rPr>
          <w:rFonts w:ascii="Times New Roman" w:cs="Times New Roman" w:eastAsia="Times New Roman" w:hAnsi="Times New Roman"/>
          <w:sz w:val="20"/>
          <w:szCs w:val="20"/>
        </w:rPr>
        <w:t xml:space="preserve">At test time the true class is unknown, so the anomaly score is the best match over known classes, s(x) = min_y s(x|y). Each model uses its natural score: the negative ELBO (VAE), the exact negative log-likelihood (flow), the mean denoising error over a grid of noise levels (DDPM), and the exact autoregressive negative log-likelihood on the raw I/Q (Mamba). We report ROC-AUC and average precision (overall and per corruption type). Generation quality is measured by (i) </w:t>
      </w:r>
      <w:r>
        <w:rPr>
          <w:rFonts w:ascii="Times New Roman" w:cs="Times New Roman" w:eastAsia="Times New Roman" w:hAnsi="Times New Roman"/>
          <w:b/>
          <w:bCs/>
          <w:sz w:val="20"/>
          <w:szCs w:val="20"/>
        </w:rPr>
        <w:t xml:space="preserve">generated-sample classification accuracy</w:t>
      </w:r>
      <w:r>
        <w:rPr>
          <w:rFonts w:ascii="Times New Roman" w:cs="Times New Roman" w:eastAsia="Times New Roman" w:hAnsi="Times New Roman"/>
          <w:sz w:val="20"/>
          <w:szCs w:val="20"/>
        </w:rPr>
        <w:t xml:space="preserve">—an auxiliary CNN trained on real signals must recognize the intended class in conditional samples (for Mamba, its generated I/Q is converted to a spectrogram first)—and (ii) a </w:t>
      </w:r>
      <w:r>
        <w:rPr>
          <w:rFonts w:ascii="Times New Roman" w:cs="Times New Roman" w:eastAsia="Times New Roman" w:hAnsi="Times New Roman"/>
          <w:b/>
          <w:bCs/>
          <w:sz w:val="20"/>
          <w:szCs w:val="20"/>
        </w:rPr>
        <w:t xml:space="preserve">Fréchet distance</w:t>
      </w:r>
      <w:r>
        <w:rPr>
          <w:rFonts w:ascii="Times New Roman" w:cs="Times New Roman" w:eastAsia="Times New Roman" w:hAnsi="Times New Roman"/>
          <w:sz w:val="20"/>
          <w:szCs w:val="20"/>
        </w:rPr>
        <w:t xml:space="preserve"> in that CNN's feature space. We also report a family-appropriate likelihood metric: exact bits/dim (flow), an ELBO bits/dim bound (VAE), test denoising MSE (DDPM), and exact discrete bits/dim (Mamba).</w:t>
      </w:r>
    </w:p>
    <w:p>
      <w:pPr>
        <w:spacing w:after="80" w:before="200"/>
        <w:jc w:val="center"/>
      </w:pPr>
      <w:r>
        <w:rPr>
          <w:rFonts w:ascii="Times New Roman" w:cs="Times New Roman" w:eastAsia="Times New Roman" w:hAnsi="Times New Roman"/>
          <w:b/>
          <w:bCs/>
          <w:caps/>
          <w:sz w:val="20"/>
          <w:szCs w:val="20"/>
        </w:rPr>
        <w:t xml:space="preserve">IV.  Experimental Setup</w:t>
      </w:r>
    </w:p>
    <w:p>
      <w:pPr>
        <w:spacing w:after="0" w:line="240"/>
        <w:ind w:firstLine="200"/>
        <w:jc w:val="both"/>
      </w:pPr>
      <w:r>
        <w:rPr>
          <w:rFonts w:ascii="Times New Roman" w:cs="Times New Roman" w:eastAsia="Times New Roman" w:hAnsi="Times New Roman"/>
          <w:sz w:val="20"/>
          <w:szCs w:val="20"/>
        </w:rPr>
        <w:t xml:space="preserve">All models train with Adam (learning rate 2×10⁻⁴) on the normal splits only; the auxiliary classifier reaches 100% test accuracy, confirming the three protocols are cleanly separable. Training is fully seeded. On a single NVIDIA RTX 4080 the three spectrogram models plus the classifier train in about one minute combined (VAE 9 s / 0.6 M params, flow 18 s / 6.9 M, DDPM 37 s / 0.9 M). The Mamba model (0.36 M params) is the outlier: its pure-PyTorch selective scan takes ≈17 min for 25 epochs — a portability-versus-speed choice, as the reference CUDA kernel would be far faster. The spectrogram portion of the study also reproduces on CPU in minutes.</w:t>
      </w:r>
    </w:p>
    <w:p>
      <w:pPr>
        <w:sectPr>
          <w:type w:val="continuous"/>
          <w:pgSz w:w="12240" w:h="15840" w:orient="portrait"/>
          <w:pgMar w:top="1080" w:right="1000" w:bottom="1080" w:left="1000" w:header="708" w:footer="708" w:gutter="0"/>
          <w:pgNumType/>
          <w:cols w:space="480" w:num="2" w:equalWidth="true"/>
          <w:docGrid w:linePitch="360"/>
        </w:sectPr>
      </w:pPr>
    </w:p>
    <w:p>
      <w:pPr>
        <w:spacing w:after="40" w:before="120"/>
        <w:jc w:val="center"/>
      </w:pPr>
      <w:r>
        <w:rPr>
          <w:rFonts w:ascii="Times New Roman" w:cs="Times New Roman" w:eastAsia="Times New Roman" w:hAnsi="Times New Roman"/>
          <w:b/>
          <w:bCs/>
          <w:sz w:val="18"/>
          <w:szCs w:val="18"/>
        </w:rPr>
        <w:t xml:space="preserve">TABLE I</w:t>
      </w:r>
      <w:r>
        <w:rPr>
          <w:rFonts w:ascii="Times New Roman" w:cs="Times New Roman" w:eastAsia="Times New Roman" w:hAnsi="Times New Roman"/>
          <w:sz w:val="18"/>
          <w:szCs w:val="18"/>
        </w:rPr>
        <w:t xml:space="preserve">  —  Model comparison (all metrics on held-out test data)</w:t>
      </w:r>
    </w:p>
    <w:tbl>
      <w:tblPr>
        <w:tblW w:type="dxa" w:w="10390"/>
        <w:tblBorders>
          <w:top w:val="single" w:sz="4"/>
          <w:left w:val="none"/>
          <w:bottom w:val="single" w:sz="4"/>
          <w:right w:val="none"/>
          <w:insideH w:val="single" w:sz="2"/>
          <w:insideV w:val="none"/>
        </w:tblBorders>
      </w:tblPr>
      <w:tblGrid>
        <w:gridCol w:w="1600"/>
        <w:gridCol w:w="1750"/>
        <w:gridCol w:w="1050"/>
        <w:gridCol w:w="950"/>
        <w:gridCol w:w="1050"/>
        <w:gridCol w:w="1050"/>
        <w:gridCol w:w="2940"/>
      </w:tblGrid>
      <w:tr>
        <w:trPr>
          <w:tblHeader/>
        </w:trPr>
        <w:tc>
          <w:tcPr>
            <w:tcW w:type="dxa" w:w="1600"/>
            <w:shd w:fill="D9E2F3"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Model</w:t>
            </w:r>
          </w:p>
        </w:tc>
        <w:tc>
          <w:tcPr>
            <w:tcW w:type="dxa" w:w="1750"/>
            <w:shd w:fill="D9E2F3" w:val="clear"/>
            <w:tcMar>
              <w:top w:type="dxa" w:w="30"/>
              <w:left w:type="dxa" w:w="60"/>
              <w:bottom w:type="dxa" w:w="30"/>
              <w:right w:type="dxa" w:w="60"/>
            </w:tcMar>
          </w:tcPr>
          <w:p>
            <w:pPr>
              <w:jc w:val="left"/>
            </w:pPr>
            <w:r>
              <w:rPr>
                <w:rFonts w:ascii="Times New Roman" w:cs="Times New Roman" w:eastAsia="Times New Roman" w:hAnsi="Times New Roman"/>
                <w:b/>
                <w:bCs/>
                <w:sz w:val="18"/>
                <w:szCs w:val="18"/>
              </w:rPr>
              <w:t xml:space="preserve">Family</w:t>
            </w:r>
          </w:p>
        </w:tc>
        <w:tc>
          <w:tcPr>
            <w:tcW w:type="dxa" w:w="1050"/>
            <w:shd w:fill="D9E2F3"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Anom. AUC</w:t>
            </w:r>
          </w:p>
        </w:tc>
        <w:tc>
          <w:tcPr>
            <w:tcW w:type="dxa" w:w="950"/>
            <w:shd w:fill="D9E2F3"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Anom. AP</w:t>
            </w:r>
          </w:p>
        </w:tc>
        <w:tc>
          <w:tcPr>
            <w:tcW w:type="dxa" w:w="1050"/>
            <w:shd w:fill="D9E2F3"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Gen. acc.</w:t>
            </w:r>
          </w:p>
        </w:tc>
        <w:tc>
          <w:tcPr>
            <w:tcW w:type="dxa" w:w="1050"/>
            <w:shd w:fill="D9E2F3"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Fréchet ↓</w:t>
            </w:r>
          </w:p>
        </w:tc>
        <w:tc>
          <w:tcPr>
            <w:tcW w:type="dxa" w:w="2940"/>
            <w:shd w:fill="D9E2F3" w:val="clear"/>
            <w:tcMar>
              <w:top w:type="dxa" w:w="30"/>
              <w:left w:type="dxa" w:w="60"/>
              <w:bottom w:type="dxa" w:w="30"/>
              <w:right w:type="dxa" w:w="60"/>
            </w:tcMar>
          </w:tcPr>
          <w:p>
            <w:pPr>
              <w:jc w:val="center"/>
            </w:pPr>
            <w:r>
              <w:rPr>
                <w:rFonts w:ascii="Times New Roman" w:cs="Times New Roman" w:eastAsia="Times New Roman" w:hAnsi="Times New Roman"/>
                <w:b/>
                <w:bCs/>
                <w:sz w:val="18"/>
                <w:szCs w:val="18"/>
              </w:rPr>
              <w:t xml:space="preserve">Likelihood</w:t>
            </w:r>
          </w:p>
        </w:tc>
      </w:tr>
      <w:tr>
        <w:tc>
          <w:tcPr>
            <w:tcW w:type="dxa" w:w="1600"/>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Conditional VAE</w:t>
            </w:r>
          </w:p>
        </w:tc>
        <w:tc>
          <w:tcPr>
            <w:tcW w:type="dxa" w:w="1750"/>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latent-variable</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0.846</w:t>
            </w:r>
          </w:p>
        </w:tc>
        <w:tc>
          <w:tcPr>
            <w:tcW w:type="dxa" w:w="9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0.869</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1.000</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0.175</w:t>
            </w:r>
          </w:p>
        </w:tc>
        <w:tc>
          <w:tcPr>
            <w:tcW w:type="dxa" w:w="294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0.728 bpd (ELBO)</w:t>
            </w:r>
          </w:p>
        </w:tc>
      </w:tr>
      <w:tr>
        <w:tc>
          <w:tcPr>
            <w:tcW w:type="dxa" w:w="1600"/>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RealNVP flow</w:t>
            </w:r>
          </w:p>
        </w:tc>
        <w:tc>
          <w:tcPr>
            <w:tcW w:type="dxa" w:w="1750"/>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explicit likelihood</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0.983</w:t>
            </w:r>
          </w:p>
        </w:tc>
        <w:tc>
          <w:tcPr>
            <w:tcW w:type="dxa" w:w="9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0.985</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1.000</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0.235</w:t>
            </w:r>
          </w:p>
        </w:tc>
        <w:tc>
          <w:tcPr>
            <w:tcW w:type="dxa" w:w="294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−1.486 bpd (exact)</w:t>
            </w:r>
          </w:p>
        </w:tc>
      </w:tr>
      <w:tr>
        <w:tc>
          <w:tcPr>
            <w:tcW w:type="dxa" w:w="1600"/>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Conditional DDPM</w:t>
            </w:r>
          </w:p>
        </w:tc>
        <w:tc>
          <w:tcPr>
            <w:tcW w:type="dxa" w:w="1750"/>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denoising</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0.972</w:t>
            </w:r>
          </w:p>
        </w:tc>
        <w:tc>
          <w:tcPr>
            <w:tcW w:type="dxa" w:w="9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0.977</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1.000</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0.157</w:t>
            </w:r>
          </w:p>
        </w:tc>
        <w:tc>
          <w:tcPr>
            <w:tcW w:type="dxa" w:w="294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0.103 denoise MSE</w:t>
            </w:r>
          </w:p>
        </w:tc>
      </w:tr>
      <w:tr>
        <w:tc>
          <w:tcPr>
            <w:tcW w:type="dxa" w:w="1600"/>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Mamba (I/Q)</w:t>
            </w:r>
          </w:p>
        </w:tc>
        <w:tc>
          <w:tcPr>
            <w:tcW w:type="dxa" w:w="1750"/>
            <w:tcMar>
              <w:top w:type="dxa" w:w="30"/>
              <w:left w:type="dxa" w:w="60"/>
              <w:bottom w:type="dxa" w:w="30"/>
              <w:right w:type="dxa" w:w="60"/>
            </w:tcMar>
          </w:tcPr>
          <w:p>
            <w:pPr>
              <w:jc w:val="left"/>
            </w:pPr>
            <w:r>
              <w:rPr>
                <w:rFonts w:ascii="Times New Roman" w:cs="Times New Roman" w:eastAsia="Times New Roman" w:hAnsi="Times New Roman"/>
                <w:b w:val="false"/>
                <w:bCs w:val="false"/>
                <w:sz w:val="18"/>
                <w:szCs w:val="18"/>
              </w:rPr>
              <w:t xml:space="preserve">autoregressive</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0.829</w:t>
            </w:r>
          </w:p>
        </w:tc>
        <w:tc>
          <w:tcPr>
            <w:tcW w:type="dxa" w:w="9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0.842</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1.000</w:t>
            </w:r>
          </w:p>
        </w:tc>
        <w:tc>
          <w:tcPr>
            <w:tcW w:type="dxa" w:w="105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2.530</w:t>
            </w:r>
          </w:p>
        </w:tc>
        <w:tc>
          <w:tcPr>
            <w:tcW w:type="dxa" w:w="2940"/>
            <w:tcMar>
              <w:top w:type="dxa" w:w="30"/>
              <w:left w:type="dxa" w:w="60"/>
              <w:bottom w:type="dxa" w:w="30"/>
              <w:right w:type="dxa" w:w="60"/>
            </w:tcMar>
          </w:tcPr>
          <w:p>
            <w:pPr>
              <w:jc w:val="center"/>
            </w:pPr>
            <w:r>
              <w:rPr>
                <w:rFonts w:ascii="Times New Roman" w:cs="Times New Roman" w:eastAsia="Times New Roman" w:hAnsi="Times New Roman"/>
                <w:b w:val="false"/>
                <w:bCs w:val="false"/>
                <w:sz w:val="18"/>
                <w:szCs w:val="18"/>
              </w:rPr>
              <w:t xml:space="preserve">5.399 bpd (discrete)</w:t>
            </w:r>
          </w:p>
        </w:tc>
      </w:tr>
    </w:tbl>
    <w:p>
      <w:pPr>
        <w:spacing w:after="80"/>
      </w:pPr>
    </w:p>
    <w:p>
      <w:pPr>
        <w:sectPr>
          <w:type w:val="continuous"/>
          <w:pgSz w:w="12240" w:h="15840" w:orient="portrait"/>
          <w:pgMar w:top="1080" w:right="1000" w:bottom="1080" w:left="1000" w:header="708" w:footer="708" w:gutter="0"/>
          <w:pgNumType/>
          <w:cols w:num="1"/>
          <w:docGrid w:linePitch="360"/>
        </w:sectPr>
      </w:pPr>
    </w:p>
    <w:p>
      <w:pPr>
        <w:spacing w:after="80" w:before="200"/>
        <w:jc w:val="center"/>
      </w:pPr>
      <w:r>
        <w:rPr>
          <w:rFonts w:ascii="Times New Roman" w:cs="Times New Roman" w:eastAsia="Times New Roman" w:hAnsi="Times New Roman"/>
          <w:b/>
          <w:bCs/>
          <w:caps/>
          <w:sz w:val="20"/>
          <w:szCs w:val="20"/>
        </w:rPr>
        <w:t xml:space="preserve">V.  Results and Discussion</w:t>
      </w:r>
    </w:p>
    <w:p>
      <w:pPr>
        <w:spacing w:after="40" w:before="100"/>
      </w:pPr>
      <w:r>
        <w:rPr>
          <w:rFonts w:ascii="Times New Roman" w:cs="Times New Roman" w:eastAsia="Times New Roman" w:hAnsi="Times New Roman"/>
          <w:i/>
          <w:iCs/>
          <w:sz w:val="20"/>
          <w:szCs w:val="20"/>
        </w:rPr>
        <w:t xml:space="preserve">A. Anomaly Detection</w:t>
      </w:r>
    </w:p>
    <w:p>
      <w:pPr>
        <w:spacing w:after="0" w:line="240"/>
        <w:ind w:firstLine="200"/>
        <w:jc w:val="both"/>
      </w:pPr>
      <w:r>
        <w:rPr>
          <w:rFonts w:ascii="Times New Roman" w:cs="Times New Roman" w:eastAsia="Times New Roman" w:hAnsi="Times New Roman"/>
          <w:sz w:val="20"/>
          <w:szCs w:val="20"/>
        </w:rPr>
        <w:t xml:space="preserve">Table I summarizes the comparison. The explicit-likelihood </w:t>
      </w:r>
      <w:r>
        <w:rPr>
          <w:rFonts w:ascii="Times New Roman" w:cs="Times New Roman" w:eastAsia="Times New Roman" w:hAnsi="Times New Roman"/>
          <w:b/>
          <w:bCs/>
          <w:sz w:val="20"/>
          <w:szCs w:val="20"/>
        </w:rPr>
        <w:t xml:space="preserve">flow is the strongest anomaly detector at 0.983 AUC</w:t>
      </w:r>
      <w:r>
        <w:rPr>
          <w:rFonts w:ascii="Times New Roman" w:cs="Times New Roman" w:eastAsia="Times New Roman" w:hAnsi="Times New Roman"/>
          <w:sz w:val="20"/>
          <w:szCs w:val="20"/>
        </w:rPr>
        <w:t xml:space="preserve">, the </w:t>
      </w:r>
      <w:r>
        <w:rPr>
          <w:rFonts w:ascii="Times New Roman" w:cs="Times New Roman" w:eastAsia="Times New Roman" w:hAnsi="Times New Roman"/>
          <w:b/>
          <w:bCs/>
          <w:sz w:val="20"/>
          <w:szCs w:val="20"/>
        </w:rPr>
        <w:t xml:space="preserve">DDPM is close behind at 0.972</w:t>
      </w:r>
      <w:r>
        <w:rPr>
          <w:rFonts w:ascii="Times New Roman" w:cs="Times New Roman" w:eastAsia="Times New Roman" w:hAnsi="Times New Roman"/>
          <w:sz w:val="20"/>
          <w:szCs w:val="20"/>
        </w:rPr>
        <w:t xml:space="preserve">, and the </w:t>
      </w:r>
      <w:r>
        <w:rPr>
          <w:rFonts w:ascii="Times New Roman" w:cs="Times New Roman" w:eastAsia="Times New Roman" w:hAnsi="Times New Roman"/>
          <w:b/>
          <w:bCs/>
          <w:sz w:val="20"/>
          <w:szCs w:val="20"/>
        </w:rPr>
        <w:t xml:space="preserve">VAE (0.846)</w:t>
      </w:r>
      <w:r>
        <w:rPr>
          <w:rFonts w:ascii="Times New Roman" w:cs="Times New Roman" w:eastAsia="Times New Roman" w:hAnsi="Times New Roman"/>
          <w:sz w:val="20"/>
          <w:szCs w:val="20"/>
        </w:rPr>
        <w:t xml:space="preserve"> and raw-I/Q </w:t>
      </w:r>
      <w:r>
        <w:rPr>
          <w:rFonts w:ascii="Times New Roman" w:cs="Times New Roman" w:eastAsia="Times New Roman" w:hAnsi="Times New Roman"/>
          <w:b/>
          <w:bCs/>
          <w:sz w:val="20"/>
          <w:szCs w:val="20"/>
        </w:rPr>
        <w:t xml:space="preserve">Mamba (0.829)</w:t>
      </w:r>
      <w:r>
        <w:rPr>
          <w:rFonts w:ascii="Times New Roman" w:cs="Times New Roman" w:eastAsia="Times New Roman" w:hAnsi="Times New Roman"/>
          <w:sz w:val="20"/>
          <w:szCs w:val="20"/>
        </w:rPr>
        <w:t xml:space="preserve"> trail. The ROC curves (Fig. 2) show the flow and DDPM hugging the top-left corner while the VAE and Mamba are visibly weaker. The per-type breakdown (Fig. 3) explains the gap: all models handle the </w:t>
      </w:r>
      <w:r>
        <w:rPr>
          <w:rFonts w:ascii="Times New Roman" w:cs="Times New Roman" w:eastAsia="Times New Roman" w:hAnsi="Times New Roman"/>
          <w:i/>
          <w:iCs/>
          <w:sz w:val="20"/>
          <w:szCs w:val="20"/>
        </w:rPr>
        <w:t xml:space="preserve">frequency shift</w:t>
      </w:r>
      <w:r>
        <w:rPr>
          <w:rFonts w:ascii="Times New Roman" w:cs="Times New Roman" w:eastAsia="Times New Roman" w:hAnsi="Times New Roman"/>
          <w:sz w:val="20"/>
          <w:szCs w:val="20"/>
        </w:rPr>
        <w:t xml:space="preserve"> anomaly nearly perfectly, but the VAE struggles with </w:t>
      </w:r>
      <w:r>
        <w:rPr>
          <w:rFonts w:ascii="Times New Roman" w:cs="Times New Roman" w:eastAsia="Times New Roman" w:hAnsi="Times New Roman"/>
          <w:i/>
          <w:iCs/>
          <w:sz w:val="20"/>
          <w:szCs w:val="20"/>
        </w:rPr>
        <w:t xml:space="preserve">timing corruption</w:t>
      </w:r>
      <w:r>
        <w:rPr>
          <w:rFonts w:ascii="Times New Roman" w:cs="Times New Roman" w:eastAsia="Times New Roman" w:hAnsi="Times New Roman"/>
          <w:sz w:val="20"/>
          <w:szCs w:val="20"/>
        </w:rPr>
        <w:t xml:space="preserve"> (0.75) and </w:t>
      </w:r>
      <w:r>
        <w:rPr>
          <w:rFonts w:ascii="Times New Roman" w:cs="Times New Roman" w:eastAsia="Times New Roman" w:hAnsi="Times New Roman"/>
          <w:i/>
          <w:iCs/>
          <w:sz w:val="20"/>
          <w:szCs w:val="20"/>
        </w:rPr>
        <w:t xml:space="preserve">protocol mixing</w:t>
      </w:r>
      <w:r>
        <w:rPr>
          <w:rFonts w:ascii="Times New Roman" w:cs="Times New Roman" w:eastAsia="Times New Roman" w:hAnsi="Times New Roman"/>
          <w:sz w:val="20"/>
          <w:szCs w:val="20"/>
        </w:rPr>
        <w:t xml:space="preserve"> (0.82), and the Mamba model is weakest on exactly these two structural corruptions (0.73 and 0.69) while remaining strong on amplitude/frequency anomalies (heavy noise 0.91, frequency shift 0.99). The flow and DDPM remain above 0.95 on every type. Notably, despite the known failure mode of flows on some out-of-distribution inputs [5], the exact spectrogram likelihood here separates anomalies cleanly, likely because the anomalies genuinely leave the narrow manifold of valid protocol spectrograms.</w:t>
      </w:r>
    </w:p>
    <w:p>
      <w:pPr>
        <w:spacing w:after="40" w:before="120"/>
        <w:jc w:val="center"/>
      </w:pPr>
      <w:r>
        <w:drawing>
          <wp:inline distT="0" distB="0" distL="0" distR="0">
            <wp:extent cx="2857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400300"/>
                    </a:xfrm>
                    <a:prstGeom prst="rect">
                      <a:avLst/>
                    </a:prstGeom>
                  </pic:spPr>
                </pic:pic>
              </a:graphicData>
            </a:graphic>
          </wp:inline>
        </w:drawing>
      </w:r>
    </w:p>
    <w:p>
      <w:pPr>
        <w:spacing w:after="140"/>
        <w:jc w:val="center"/>
      </w:pPr>
      <w:r>
        <w:rPr>
          <w:rFonts w:ascii="Times New Roman" w:cs="Times New Roman" w:eastAsia="Times New Roman" w:hAnsi="Times New Roman"/>
          <w:sz w:val="18"/>
          <w:szCs w:val="18"/>
        </w:rPr>
        <w:t xml:space="preserve">Fig. 2.  Anomaly-detection ROC curves. The flow and DDPM dominate the VAE across operating points.</w:t>
      </w:r>
    </w:p>
    <w:p>
      <w:pPr>
        <w:spacing w:after="40" w:before="120"/>
        <w:jc w:val="center"/>
      </w:pPr>
      <w:r>
        <w:drawing>
          <wp:inline distT="0" distB="0" distL="0" distR="0">
            <wp:extent cx="3048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438275"/>
                    </a:xfrm>
                    <a:prstGeom prst="rect">
                      <a:avLst/>
                    </a:prstGeom>
                  </pic:spPr>
                </pic:pic>
              </a:graphicData>
            </a:graphic>
          </wp:inline>
        </w:drawing>
      </w:r>
    </w:p>
    <w:p>
      <w:pPr>
        <w:spacing w:after="140"/>
        <w:jc w:val="center"/>
      </w:pPr>
      <w:r>
        <w:rPr>
          <w:rFonts w:ascii="Times New Roman" w:cs="Times New Roman" w:eastAsia="Times New Roman" w:hAnsi="Times New Roman"/>
          <w:sz w:val="18"/>
          <w:szCs w:val="18"/>
        </w:rPr>
        <w:t xml:space="preserve">Fig. 3.  ROC-AUC by corruption type. The VAE lags most on timing corruption and protocol mixing.</w:t>
      </w:r>
    </w:p>
    <w:p>
      <w:pPr>
        <w:spacing w:after="0" w:line="240"/>
        <w:ind w:firstLine="200"/>
        <w:jc w:val="both"/>
      </w:pPr>
      <w:r>
        <w:rPr>
          <w:rFonts w:ascii="Times New Roman" w:cs="Times New Roman" w:eastAsia="Times New Roman" w:hAnsi="Times New Roman"/>
          <w:sz w:val="20"/>
          <w:szCs w:val="20"/>
        </w:rPr>
        <w:t xml:space="preserve">A practical note on likelihood scales: the flow's exact test bits/dim is negative (−1.49). This is expected, not a defect—peak-normalized spectrograms form a concentrated </w:t>
      </w:r>
      <w:r>
        <w:rPr>
          <w:rFonts w:ascii="Times New Roman" w:cs="Times New Roman" w:eastAsia="Times New Roman" w:hAnsi="Times New Roman"/>
          <w:i/>
          <w:iCs/>
          <w:sz w:val="20"/>
          <w:szCs w:val="20"/>
        </w:rPr>
        <w:t xml:space="preserve">continuous</w:t>
      </w:r>
      <w:r>
        <w:rPr>
          <w:rFonts w:ascii="Times New Roman" w:cs="Times New Roman" w:eastAsia="Times New Roman" w:hAnsi="Times New Roman"/>
          <w:sz w:val="20"/>
          <w:szCs w:val="20"/>
        </w:rPr>
        <w:t xml:space="preserve"> distribution whose differential entropy (hence bits/dim) can be negative. The Mamba model, by discretizing the I/Q into 256 levels, instead reports a clean non-negative 5.40 bits/dim (out of a uniform maximum of 8). In both cases the </w:t>
      </w:r>
      <w:r>
        <w:rPr>
          <w:rFonts w:ascii="Times New Roman" w:cs="Times New Roman" w:eastAsia="Times New Roman" w:hAnsi="Times New Roman"/>
          <w:i/>
          <w:iCs/>
          <w:sz w:val="20"/>
          <w:szCs w:val="20"/>
        </w:rPr>
        <w:t xml:space="preserve">relative</w:t>
      </w:r>
      <w:r>
        <w:rPr>
          <w:rFonts w:ascii="Times New Roman" w:cs="Times New Roman" w:eastAsia="Times New Roman" w:hAnsi="Times New Roman"/>
          <w:sz w:val="20"/>
          <w:szCs w:val="20"/>
        </w:rPr>
        <w:t xml:space="preserve"> likelihood is what drives detection, and it separates normal from anomalous signals well.</w:t>
      </w:r>
    </w:p>
    <w:p>
      <w:pPr>
        <w:spacing w:after="40" w:before="100"/>
      </w:pPr>
      <w:r>
        <w:rPr>
          <w:rFonts w:ascii="Times New Roman" w:cs="Times New Roman" w:eastAsia="Times New Roman" w:hAnsi="Times New Roman"/>
          <w:i/>
          <w:iCs/>
          <w:sz w:val="20"/>
          <w:szCs w:val="20"/>
        </w:rPr>
        <w:t xml:space="preserve">B. Generation Quality</w:t>
      </w:r>
    </w:p>
    <w:p>
      <w:pPr>
        <w:spacing w:after="0" w:line="240"/>
        <w:ind w:firstLine="200"/>
        <w:jc w:val="both"/>
      </w:pPr>
      <w:r>
        <w:rPr>
          <w:rFonts w:ascii="Times New Roman" w:cs="Times New Roman" w:eastAsia="Times New Roman" w:hAnsi="Times New Roman"/>
          <w:sz w:val="20"/>
          <w:szCs w:val="20"/>
        </w:rPr>
        <w:t xml:space="preserve">All four models achieve </w:t>
      </w:r>
      <w:r>
        <w:rPr>
          <w:rFonts w:ascii="Times New Roman" w:cs="Times New Roman" w:eastAsia="Times New Roman" w:hAnsi="Times New Roman"/>
          <w:b/>
          <w:bCs/>
          <w:sz w:val="20"/>
          <w:szCs w:val="20"/>
        </w:rPr>
        <w:t xml:space="preserve">100% generated-sample classification accuracy</w:t>
      </w:r>
      <w:r>
        <w:rPr>
          <w:rFonts w:ascii="Times New Roman" w:cs="Times New Roman" w:eastAsia="Times New Roman" w:hAnsi="Times New Roman"/>
          <w:sz w:val="20"/>
          <w:szCs w:val="20"/>
        </w:rPr>
        <w:t xml:space="preserve">: every model — including Mamba, whose generated I/Q is converted to a spectrogram — produces class-conditional signals that the auxiliary CNN assigns to the intended protocol. Because the protocols are well separated, this semantic metric saturates, and the </w:t>
      </w:r>
      <w:r>
        <w:rPr>
          <w:rFonts w:ascii="Times New Roman" w:cs="Times New Roman" w:eastAsia="Times New Roman" w:hAnsi="Times New Roman"/>
          <w:b/>
          <w:bCs/>
          <w:sz w:val="20"/>
          <w:szCs w:val="20"/>
        </w:rPr>
        <w:t xml:space="preserve">Fréchet distance</w:t>
      </w:r>
      <w:r>
        <w:rPr>
          <w:rFonts w:ascii="Times New Roman" w:cs="Times New Roman" w:eastAsia="Times New Roman" w:hAnsi="Times New Roman"/>
          <w:sz w:val="20"/>
          <w:szCs w:val="20"/>
        </w:rPr>
        <w:t xml:space="preserve"> becomes the more discriminating fidelity measure. There the </w:t>
      </w:r>
      <w:r>
        <w:rPr>
          <w:rFonts w:ascii="Times New Roman" w:cs="Times New Roman" w:eastAsia="Times New Roman" w:hAnsi="Times New Roman"/>
          <w:b/>
          <w:bCs/>
          <w:sz w:val="20"/>
          <w:szCs w:val="20"/>
        </w:rPr>
        <w:t xml:space="preserve">DDPM is best (0.157)</w:t>
      </w:r>
      <w:r>
        <w:rPr>
          <w:rFonts w:ascii="Times New Roman" w:cs="Times New Roman" w:eastAsia="Times New Roman" w:hAnsi="Times New Roman"/>
          <w:sz w:val="20"/>
          <w:szCs w:val="20"/>
        </w:rPr>
        <w:t xml:space="preserve">, the VAE second (0.175), the flow third (0.235), and the </w:t>
      </w:r>
      <w:r>
        <w:rPr>
          <w:rFonts w:ascii="Times New Roman" w:cs="Times New Roman" w:eastAsia="Times New Roman" w:hAnsi="Times New Roman"/>
          <w:b/>
          <w:bCs/>
          <w:sz w:val="20"/>
          <w:szCs w:val="20"/>
        </w:rPr>
        <w:t xml:space="preserve">Mamba far higher (2.53)</w:t>
      </w:r>
      <w:r>
        <w:rPr>
          <w:rFonts w:ascii="Times New Roman" w:cs="Times New Roman" w:eastAsia="Times New Roman" w:hAnsi="Times New Roman"/>
          <w:sz w:val="20"/>
          <w:szCs w:val="20"/>
        </w:rPr>
        <w:t xml:space="preserve">. The qualitative comparison in Fig. 4 makes the trade-off visible: real spectrograms carry fine-grained stochastic texture; the </w:t>
      </w:r>
      <w:r>
        <w:rPr>
          <w:rFonts w:ascii="Times New Roman" w:cs="Times New Roman" w:eastAsia="Times New Roman" w:hAnsi="Times New Roman"/>
          <w:b/>
          <w:bCs/>
          <w:sz w:val="20"/>
          <w:szCs w:val="20"/>
        </w:rPr>
        <w:t xml:space="preserve">VAE over-smooths</w:t>
      </w:r>
      <w:r>
        <w:rPr>
          <w:rFonts w:ascii="Times New Roman" w:cs="Times New Roman" w:eastAsia="Times New Roman" w:hAnsi="Times New Roman"/>
          <w:sz w:val="20"/>
          <w:szCs w:val="20"/>
        </w:rPr>
        <w:t xml:space="preserve"> (recognizable but blurry, the classic VAE behaviour); the flow and DDPM reproduce realistic texture; and the Mamba samples are visually plausible and class-correct but distributionally further from real — autoregressive raw-I/Q generation over 1024 quantized tokens accumulates error, which the feature-space Fréchet distance penalizes.</w:t>
      </w:r>
    </w:p>
    <w:p>
      <w:pPr>
        <w:spacing w:after="0" w:line="240"/>
        <w:ind w:firstLine="200"/>
        <w:jc w:val="both"/>
      </w:pPr>
      <w:r>
        <w:rPr>
          <w:rFonts w:ascii="Times New Roman" w:cs="Times New Roman" w:eastAsia="Times New Roman" w:hAnsi="Times New Roman"/>
          <w:sz w:val="20"/>
          <w:szCs w:val="20"/>
        </w:rPr>
        <w:t xml:space="preserve">Together these results describe a clear trade-off. The flow offers the best anomaly detection and exact likelihoods but modest sample fidelity and the largest model; the DDPM offers near-best detection and the best fidelity at moderate cost, but slow iterative sampling; the VAE is the cheapest and fastest with a useful amortized encoder, but a weak detector with blurry samples; and the Mamba model uniquely models raw I/Q with a clean discrete likelihood, but is the weakest detector, lowest-fidelity generator, and by far the costliest to train in pure PyTorch.</w:t>
      </w:r>
    </w:p>
    <w:p>
      <w:pPr>
        <w:sectPr>
          <w:type w:val="continuous"/>
          <w:pgSz w:w="12240" w:h="15840" w:orient="portrait"/>
          <w:pgMar w:top="1080" w:right="1000" w:bottom="1080" w:left="1000" w:header="708" w:footer="708" w:gutter="0"/>
          <w:pgNumType/>
          <w:cols w:space="480" w:num="2" w:equalWidth="true"/>
          <w:docGrid w:linePitch="360"/>
        </w:sectPr>
      </w:pPr>
    </w:p>
    <w:p>
      <w:pPr>
        <w:spacing w:after="40" w:before="120"/>
        <w:jc w:val="center"/>
      </w:pPr>
      <w:r>
        <w:drawing>
          <wp:inline distT="0" distB="0" distL="0" distR="0">
            <wp:extent cx="6572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152775"/>
                    </a:xfrm>
                    <a:prstGeom prst="rect">
                      <a:avLst/>
                    </a:prstGeom>
                  </pic:spPr>
                </pic:pic>
              </a:graphicData>
            </a:graphic>
          </wp:inline>
        </w:drawing>
      </w:r>
    </w:p>
    <w:p>
      <w:pPr>
        <w:spacing w:after="140"/>
        <w:jc w:val="center"/>
      </w:pPr>
      <w:r>
        <w:rPr>
          <w:rFonts w:ascii="Times New Roman" w:cs="Times New Roman" w:eastAsia="Times New Roman" w:hAnsi="Times New Roman"/>
          <w:sz w:val="18"/>
          <w:szCs w:val="18"/>
        </w:rPr>
        <w:t xml:space="preserve">Fig. 4.  Real versus class-conditional generated spectrograms (rows: real, VAE, flow, DDPM, Mamba). The VAE over-smooths; the flow, DDPM and Mamba reproduce realistic texture, though Mamba's raw-I/Q samples are distributionally further from real.</w:t>
      </w:r>
    </w:p>
    <w:p>
      <w:pPr>
        <w:sectPr>
          <w:type w:val="continuous"/>
          <w:pgSz w:w="12240" w:h="15840" w:orient="portrait"/>
          <w:pgMar w:top="1080" w:right="1000" w:bottom="1080" w:left="1000" w:header="708" w:footer="708" w:gutter="0"/>
          <w:pgNumType/>
          <w:cols w:num="1"/>
          <w:docGrid w:linePitch="360"/>
        </w:sectPr>
      </w:pPr>
    </w:p>
    <w:p>
      <w:pPr>
        <w:spacing w:after="80" w:before="200"/>
        <w:jc w:val="center"/>
      </w:pPr>
      <w:r>
        <w:rPr>
          <w:rFonts w:ascii="Times New Roman" w:cs="Times New Roman" w:eastAsia="Times New Roman" w:hAnsi="Times New Roman"/>
          <w:b/>
          <w:bCs/>
          <w:caps/>
          <w:sz w:val="20"/>
          <w:szCs w:val="20"/>
        </w:rPr>
        <w:t xml:space="preserve">VI.  Conclusion</w:t>
      </w:r>
    </w:p>
    <w:p>
      <w:pPr>
        <w:spacing w:after="0" w:line="240"/>
        <w:ind w:firstLine="200"/>
        <w:jc w:val="both"/>
      </w:pPr>
      <w:r>
        <w:rPr>
          <w:rFonts w:ascii="Times New Roman" w:cs="Times New Roman" w:eastAsia="Times New Roman" w:hAnsi="Times New Roman"/>
          <w:sz w:val="20"/>
          <w:szCs w:val="20"/>
        </w:rPr>
        <w:t xml:space="preserve">We built a reproducible synthetic-RF pipeline and compared four conditional deep generative models—a VAE, a RealNVP flow, a DDPM, and a Mamba autoregressive SSM over raw I/Q—on class-conditional generation and anomaly detection for Wi-Fi, BLE, and ZigBee. Trained only on normal signals, the explicit-likelihood flow detected corrupted and protocol-inconsistent signals best (AUC 0.983), the diffusion model matched it closely while generating the most realistic samples, the VAE was the most economical but least accurate spectrogram model, and the raw-I/Q Mamba model gave a clean exact discrete likelihood but was the weakest detector and costliest to train here. For RF anomaly detection under limited data we therefore recommend likelihood-based or denoising models on spectrograms. Future work includes a GPU-kernel Mamba on longer I/Q windows, scaling to captured over-the-air data, and combining a diffusion generator's fidelity with a flow's exact-likelihood detector.</w:t>
      </w:r>
    </w:p>
    <w:p>
      <w:pPr>
        <w:spacing w:after="80" w:before="200"/>
        <w:jc w:val="center"/>
      </w:pPr>
      <w:r>
        <w:rPr>
          <w:rFonts w:ascii="Times New Roman" w:cs="Times New Roman" w:eastAsia="Times New Roman" w:hAnsi="Times New Roman"/>
          <w:b/>
          <w:bCs/>
          <w:caps/>
          <w:sz w:val="20"/>
          <w:szCs w:val="20"/>
        </w:rPr>
        <w:t xml:space="preserve">References</w:t>
      </w:r>
    </w:p>
    <w:p>
      <w:pPr>
        <w:spacing w:after="20" w:line="220"/>
        <w:ind w:left="220" w:hanging="220"/>
        <w:jc w:val="both"/>
      </w:pPr>
      <w:r>
        <w:rPr>
          <w:rFonts w:ascii="Times New Roman" w:cs="Times New Roman" w:eastAsia="Times New Roman" w:hAnsi="Times New Roman"/>
          <w:sz w:val="18"/>
          <w:szCs w:val="18"/>
        </w:rPr>
        <w:t xml:space="preserve">[1]  D. P. Kingma and M. Welling, “Auto-encoding variational Bayes,” in Proc. ICLR, 2014.</w:t>
      </w:r>
    </w:p>
    <w:p>
      <w:pPr>
        <w:spacing w:after="20" w:line="220"/>
        <w:ind w:left="220" w:hanging="220"/>
        <w:jc w:val="both"/>
      </w:pPr>
      <w:r>
        <w:rPr>
          <w:rFonts w:ascii="Times New Roman" w:cs="Times New Roman" w:eastAsia="Times New Roman" w:hAnsi="Times New Roman"/>
          <w:sz w:val="18"/>
          <w:szCs w:val="18"/>
        </w:rPr>
        <w:t xml:space="preserve">[2]  L. Dinh, J. Sohl-Dickstein, and S. Bengio, “Density estimation using Real NVP,” in Proc. ICLR, 2017.</w:t>
      </w:r>
    </w:p>
    <w:p>
      <w:pPr>
        <w:spacing w:after="20" w:line="220"/>
        <w:ind w:left="220" w:hanging="220"/>
        <w:jc w:val="both"/>
      </w:pPr>
      <w:r>
        <w:rPr>
          <w:rFonts w:ascii="Times New Roman" w:cs="Times New Roman" w:eastAsia="Times New Roman" w:hAnsi="Times New Roman"/>
          <w:sz w:val="18"/>
          <w:szCs w:val="18"/>
        </w:rPr>
        <w:t xml:space="preserve">[3]  J. Ho, A. Jain, and P. Abbeel, “Denoising diffusion probabilistic models,” in Proc. NeurIPS, 2020.</w:t>
      </w:r>
    </w:p>
    <w:p>
      <w:pPr>
        <w:spacing w:after="20" w:line="220"/>
        <w:ind w:left="220" w:hanging="220"/>
        <w:jc w:val="both"/>
      </w:pPr>
      <w:r>
        <w:rPr>
          <w:rFonts w:ascii="Times New Roman" w:cs="Times New Roman" w:eastAsia="Times New Roman" w:hAnsi="Times New Roman"/>
          <w:sz w:val="18"/>
          <w:szCs w:val="18"/>
        </w:rPr>
        <w:t xml:space="preserve">[4]  T. J. O’Shea, T. Roy, and T. C. Clancy, “Over-the-air deep learning based radio signal classification,” IEEE J. Sel. Topics Signal Process., vol. 12, no. 1, pp. 168–179, 2018.</w:t>
      </w:r>
    </w:p>
    <w:p>
      <w:pPr>
        <w:spacing w:after="20" w:line="220"/>
        <w:ind w:left="220" w:hanging="220"/>
        <w:jc w:val="both"/>
      </w:pPr>
      <w:r>
        <w:rPr>
          <w:rFonts w:ascii="Times New Roman" w:cs="Times New Roman" w:eastAsia="Times New Roman" w:hAnsi="Times New Roman"/>
          <w:sz w:val="18"/>
          <w:szCs w:val="18"/>
        </w:rPr>
        <w:t xml:space="preserve">[5]  E. Nalisnick et al., “Do deep generative models know what they don’t know?” in Proc. ICLR, 2019.</w:t>
      </w:r>
    </w:p>
    <w:p>
      <w:pPr>
        <w:spacing w:after="20" w:line="220"/>
        <w:ind w:left="220" w:hanging="220"/>
        <w:jc w:val="both"/>
      </w:pPr>
      <w:r>
        <w:rPr>
          <w:rFonts w:ascii="Times New Roman" w:cs="Times New Roman" w:eastAsia="Times New Roman" w:hAnsi="Times New Roman"/>
          <w:sz w:val="18"/>
          <w:szCs w:val="18"/>
        </w:rPr>
        <w:t xml:space="preserve">[6]  D. J. Rezende and S. Mohamed, “Variational inference with normalizing flows,” in Proc. ICML, 2015.</w:t>
      </w:r>
    </w:p>
    <w:p>
      <w:pPr>
        <w:spacing w:after="20" w:line="220"/>
        <w:ind w:left="220" w:hanging="220"/>
        <w:jc w:val="both"/>
      </w:pPr>
      <w:r>
        <w:rPr>
          <w:rFonts w:ascii="Times New Roman" w:cs="Times New Roman" w:eastAsia="Times New Roman" w:hAnsi="Times New Roman"/>
          <w:sz w:val="18"/>
          <w:szCs w:val="18"/>
        </w:rPr>
        <w:t xml:space="preserve">[7]  J. An and S. Cho, “Variational autoencoder based anomaly detection using reconstruction probability,” SNU Data Mining Center, Tech. Rep., 2015.</w:t>
      </w:r>
    </w:p>
    <w:p>
      <w:pPr>
        <w:spacing w:after="20" w:line="220"/>
        <w:ind w:left="220" w:hanging="220"/>
        <w:jc w:val="both"/>
      </w:pPr>
      <w:r>
        <w:rPr>
          <w:rFonts w:ascii="Times New Roman" w:cs="Times New Roman" w:eastAsia="Times New Roman" w:hAnsi="Times New Roman"/>
          <w:sz w:val="18"/>
          <w:szCs w:val="18"/>
        </w:rPr>
        <w:t xml:space="preserve">[8]  A. Gu and T. Dao, “Mamba: Linear-time sequence modeling with selective state spaces,” arXiv:2312.00752, 2023.</w:t>
      </w:r>
    </w:p>
    <w:sectPr>
      <w:type w:val="continuous"/>
      <w:pgSz w:w="12240" w:h="15840" w:orient="portrait"/>
      <w:pgMar w:top="1080" w:right="1000" w:bottom="1080" w:left="1000" w:header="708" w:footer="708" w:gutter="0"/>
      <w:pgNumType/>
      <w:cols w:space="48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55ceccbc45de610d2c4030d0b21c4f1aa43eb0.png"/><Relationship Id="rId8" Type="http://schemas.openxmlformats.org/officeDocument/2006/relationships/image" Target="media/7635b3ab1537687dbb4e58d07175267ec6ac2b5d.png"/><Relationship Id="rId9" Type="http://schemas.openxmlformats.org/officeDocument/2006/relationships/image" Target="media/e9f35b2c100636208490c9e160cf3520090ec819.png"/><Relationship Id="rId10" Type="http://schemas.openxmlformats.org/officeDocument/2006/relationships/image" Target="media/a8b2643d9d154bc9fee43b98e72894d192d7f9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Generative Models for Synthetic RF Signal Generation and Anomaly Detection</dc:title>
  <dc:creator>Tristan Ruel</dc:creator>
  <cp:lastModifiedBy>Un-named</cp:lastModifiedBy>
  <cp:revision>1</cp:revision>
  <dcterms:created xsi:type="dcterms:W3CDTF">2026-07-10T04:12:08.499Z</dcterms:created>
  <dcterms:modified xsi:type="dcterms:W3CDTF">2026-07-10T04:12:08.499Z</dcterms:modified>
</cp:coreProperties>
</file>

<file path=docProps/custom.xml><?xml version="1.0" encoding="utf-8"?>
<Properties xmlns="http://schemas.openxmlformats.org/officeDocument/2006/custom-properties" xmlns:vt="http://schemas.openxmlformats.org/officeDocument/2006/docPropsVTypes"/>
</file>