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v.responsabilite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tt/t/ttt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v.description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Représenter la confédération auprès des adhérents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Accompagner les Junior-Créations pour déterminer leur structure.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Avoir une expérience d’au moins deux années au sein d’une Junior-Entreprise.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Sens d’écoute. Capacité d’analyse et de synthèse.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Esprit d’initiative, gestion d’équipe.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