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7200"/>
      </w:tblGrid>
      <w:tr w:rsidR="00231AA5" w:rsidRPr="00E61670" w:rsidTr="0028054C">
        <w:trPr>
          <w:trHeight w:val="440"/>
        </w:trPr>
        <w:tc>
          <w:tcPr>
            <w:tcW w:w="10080" w:type="dxa"/>
            <w:gridSpan w:val="2"/>
            <w:vAlign w:val="center"/>
          </w:tcPr>
          <w:p w:rsidR="00231AA5" w:rsidRPr="00190E27" w:rsidRDefault="00231AA5" w:rsidP="00190E27">
            <w:pPr>
              <w:pStyle w:val="Title"/>
            </w:pPr>
            <w:r w:rsidRPr="00190E27">
              <w:t>Basic Rules</w:t>
            </w:r>
            <w:r w:rsidR="00092447" w:rsidRPr="00190E27">
              <w:t xml:space="preserve"> of the Comma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Addresses &amp; Geographical Items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Addresses and geographical items that contain two or more elements should use commas to set off the second and following elements.  </w:t>
            </w:r>
          </w:p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My sister from </w:t>
            </w:r>
            <w:smartTag w:uri="urn:schemas-microsoft-com:office:smarttags" w:element="place">
              <w:smartTag w:uri="urn:schemas-microsoft-com:office:smarttags" w:element="City">
                <w:r w:rsidRPr="00E61670">
                  <w:rPr>
                    <w:rFonts w:ascii="Arial" w:hAnsi="Arial" w:cs="Arial"/>
                    <w:i/>
                    <w:sz w:val="18"/>
                    <w:szCs w:val="18"/>
                  </w:rPr>
                  <w:t>Billings</w:t>
                </w:r>
              </w:smartTag>
              <w:r w:rsidRPr="00E61670">
                <w:rPr>
                  <w:rFonts w:ascii="Arial" w:hAnsi="Arial" w:cs="Arial"/>
                  <w:i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 w:rsidRPr="00E61670">
                  <w:rPr>
                    <w:rFonts w:ascii="Arial" w:hAnsi="Arial" w:cs="Arial"/>
                    <w:i/>
                    <w:sz w:val="18"/>
                    <w:szCs w:val="18"/>
                  </w:rPr>
                  <w:t>Montana</w:t>
                </w:r>
              </w:smartTag>
            </w:smartTag>
            <w:r w:rsidRPr="00E61670">
              <w:rPr>
                <w:rFonts w:ascii="Arial" w:hAnsi="Arial" w:cs="Arial"/>
                <w:i/>
                <w:sz w:val="18"/>
                <w:szCs w:val="18"/>
              </w:rPr>
              <w:t>, called yesterday.</w:t>
            </w:r>
            <w:bookmarkStart w:id="0" w:name="_GoBack"/>
            <w:bookmarkEnd w:id="0"/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Appositives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Set off appositives with commas.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Geoff Watkins, my supervisor, will be my mentor. </w:t>
            </w:r>
            <w:r w:rsidR="00DD49F2">
              <w:rPr>
                <w:rFonts w:ascii="Arial" w:hAnsi="Arial" w:cs="Arial"/>
                <w:i/>
                <w:sz w:val="18"/>
                <w:szCs w:val="18"/>
              </w:rPr>
              <w:br/>
            </w:r>
            <w:r w:rsidRPr="00E61670">
              <w:rPr>
                <w:rFonts w:ascii="Arial" w:hAnsi="Arial" w:cs="Arial"/>
                <w:sz w:val="18"/>
                <w:szCs w:val="18"/>
              </w:rPr>
              <w:t xml:space="preserve">No commas before essential information.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The student Ted Cox won the award.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Clarity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E61670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Use commas to separate repeated words for emphasis or repeated words that may be misread if not separated.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5306D" w:rsidRPr="00E61670">
              <w:rPr>
                <w:rFonts w:ascii="Arial" w:hAnsi="Arial" w:cs="Arial"/>
                <w:i/>
                <w:sz w:val="18"/>
                <w:szCs w:val="18"/>
              </w:rPr>
              <w:t>If you go, go now!</w:t>
            </w:r>
            <w:r w:rsidR="00E61670" w:rsidRPr="00E61670">
              <w:rPr>
                <w:rFonts w:ascii="Arial" w:hAnsi="Arial" w:cs="Arial"/>
                <w:i/>
                <w:sz w:val="18"/>
                <w:szCs w:val="18"/>
              </w:rPr>
              <w:t xml:space="preserve"> Although bored, employees did respond.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Contrasting Statements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>Commas are used to set off contrasting or opposing expressions.</w:t>
            </w:r>
          </w:p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We chose </w:t>
            </w:r>
            <w:proofErr w:type="spellStart"/>
            <w:r w:rsidRPr="00E61670">
              <w:rPr>
                <w:rFonts w:ascii="Arial" w:hAnsi="Arial" w:cs="Arial"/>
                <w:i/>
                <w:sz w:val="18"/>
                <w:szCs w:val="18"/>
              </w:rPr>
              <w:t>HyVee</w:t>
            </w:r>
            <w:proofErr w:type="spellEnd"/>
            <w:r w:rsidRPr="00E61670">
              <w:rPr>
                <w:rFonts w:ascii="Arial" w:hAnsi="Arial" w:cs="Arial"/>
                <w:i/>
                <w:sz w:val="18"/>
                <w:szCs w:val="18"/>
              </w:rPr>
              <w:t>, not Palmer’s Deli, to cater our luncheon.</w:t>
            </w:r>
          </w:p>
          <w:p w:rsidR="00A821B9" w:rsidRPr="00E61670" w:rsidRDefault="00A821B9" w:rsidP="00E61670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The more I go to the gym, the stronger I feel.</w:t>
            </w:r>
            <w:r w:rsidR="00E61670" w:rsidRPr="00E61670">
              <w:rPr>
                <w:rFonts w:ascii="Arial" w:hAnsi="Arial" w:cs="Arial"/>
                <w:i/>
                <w:sz w:val="18"/>
                <w:szCs w:val="18"/>
              </w:rPr>
              <w:t xml:space="preserve"> The less I eat, the more tired I am.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Dates &amp; Time Zones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9624B8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Dates with two or more elements are set off with commas.  Commas set off time zones.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The original store opened on January 10, 2011, in Omaha, Nebraska.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br/>
              <w:t>We will open our new business at 7:00 a.m., CST</w:t>
            </w:r>
            <w:r w:rsidRPr="00E616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Degrees and Abbreviations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Personal titles, professional titles, &amp; professional designations (except for Jr. and Sr.) are set off by commas.  </w:t>
            </w:r>
          </w:p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 xml:space="preserve">Anthony </w:t>
            </w:r>
            <w:proofErr w:type="spellStart"/>
            <w:r w:rsidRPr="00E61670">
              <w:rPr>
                <w:rFonts w:ascii="Arial" w:hAnsi="Arial" w:cs="Arial"/>
                <w:i/>
                <w:sz w:val="18"/>
                <w:szCs w:val="18"/>
              </w:rPr>
              <w:t>Doneli</w:t>
            </w:r>
            <w:proofErr w:type="spellEnd"/>
            <w:r w:rsidRPr="00E61670">
              <w:rPr>
                <w:rFonts w:ascii="Arial" w:hAnsi="Arial" w:cs="Arial"/>
                <w:i/>
                <w:sz w:val="18"/>
                <w:szCs w:val="18"/>
              </w:rPr>
              <w:t>, PhD, explained how to use a Web page for hiring employees.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Direct Address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Set off direct addresses in sentences.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I believe, Sue, that the conference will be held in Building 8.  I regret, sir, that you were not notified of the change</w:t>
            </w:r>
            <w:r w:rsidRPr="00E61670"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Independent Adjectives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>Use a comma to separate two or more adjectives that modify a noun if the adjectives can be switched around and the sentence remains clear.</w:t>
            </w:r>
          </w:p>
          <w:p w:rsidR="00231AA5" w:rsidRPr="00E61670" w:rsidRDefault="00231AA5" w:rsidP="00231AA5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My dog is a small, brown Silky Terrier.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Independent Clauses</w:t>
            </w:r>
          </w:p>
          <w:p w:rsidR="00FB16D8" w:rsidRPr="00E61670" w:rsidRDefault="00FB16D8" w:rsidP="00FB16D8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E61670">
              <w:rPr>
                <w:rFonts w:ascii="Arial" w:hAnsi="Arial" w:cs="Arial"/>
                <w:smallCaps/>
                <w:sz w:val="22"/>
                <w:szCs w:val="22"/>
              </w:rPr>
              <w:t>(</w:t>
            </w:r>
            <w:proofErr w:type="spellStart"/>
            <w:r w:rsidRPr="00E61670">
              <w:rPr>
                <w:rFonts w:ascii="Arial" w:hAnsi="Arial" w:cs="Arial"/>
                <w:smallCaps/>
                <w:sz w:val="22"/>
                <w:szCs w:val="22"/>
              </w:rPr>
              <w:t>fanboys</w:t>
            </w:r>
            <w:proofErr w:type="spellEnd"/>
            <w:r w:rsidRPr="00E61670">
              <w:rPr>
                <w:rFonts w:ascii="Arial" w:hAnsi="Arial" w:cs="Arial"/>
                <w:smallCaps/>
                <w:sz w:val="22"/>
                <w:szCs w:val="22"/>
              </w:rPr>
              <w:t>)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When a coordinating conjunction joins two independent clauses, add a comma before the conjunction.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She was late for class, but she still finished the exam.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 xml:space="preserve">Introductory </w:t>
            </w:r>
            <w:r w:rsidR="00E70000" w:rsidRPr="00E61670">
              <w:rPr>
                <w:rFonts w:ascii="Arial" w:hAnsi="Arial" w:cs="Arial"/>
                <w:sz w:val="22"/>
                <w:szCs w:val="22"/>
              </w:rPr>
              <w:t xml:space="preserve">Dependent </w:t>
            </w:r>
            <w:r w:rsidRPr="00E61670">
              <w:rPr>
                <w:rFonts w:ascii="Arial" w:hAnsi="Arial" w:cs="Arial"/>
                <w:sz w:val="22"/>
                <w:szCs w:val="22"/>
              </w:rPr>
              <w:t>Clauses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Add a comma after a dependent clause followed by an independent clause.  </w:t>
            </w:r>
          </w:p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When you finish painting the bedroom, please clean all of the brushes.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Introductory Verbal Phrases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Add a comma after an introductory verbal phrase.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Sitting in the car, we looked at the breathtaking mountains.  Skilled with computers, Tonya was quickly hired.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Nonessential Clauses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Use commas to set off clauses that are not essential to the sentence.  </w:t>
            </w:r>
          </w:p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Tom Moorehead, who was the guest speaker, is from Des Moines.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Numerals</w:t>
            </w:r>
          </w:p>
        </w:tc>
        <w:tc>
          <w:tcPr>
            <w:tcW w:w="7200" w:type="dxa"/>
            <w:vAlign w:val="center"/>
          </w:tcPr>
          <w:p w:rsidR="00231AA5" w:rsidRDefault="00231AA5" w:rsidP="004A582C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>Numbers of four or more digits require commas – 12,000 and 100,000.</w:t>
            </w:r>
          </w:p>
          <w:p w:rsidR="00E61670" w:rsidRPr="00E61670" w:rsidRDefault="00E61670" w:rsidP="00DD49F2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Adjacent numbers require a comma.  </w:t>
            </w:r>
            <w:r>
              <w:rPr>
                <w:rFonts w:ascii="Arial" w:hAnsi="Arial" w:cs="Arial"/>
                <w:i/>
                <w:sz w:val="18"/>
                <w:szCs w:val="18"/>
              </w:rPr>
              <w:t>In 2018, 35,000 students enrolled in courses.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Omitted Words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When omitted words are understood, use a comma to show the omission.  </w:t>
            </w:r>
          </w:p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Last semester I took five classes; this semester, four classes</w:t>
            </w:r>
            <w:r w:rsidRPr="00E6167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Parenthetical Expressions</w:t>
            </w:r>
          </w:p>
          <w:p w:rsidR="00E61670" w:rsidRPr="00E61670" w:rsidRDefault="00E61670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(Interrupters)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Set off interrupters in sentences with commas – of course, on the other hand, for example, by the way, in my opinion, in fact.  </w:t>
            </w:r>
          </w:p>
          <w:p w:rsidR="00231AA5" w:rsidRPr="00E61670" w:rsidRDefault="00231AA5" w:rsidP="009730E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March, in my opinion, is the best month to go skiing.  By the way, I enrolled in the class.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E61670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 xml:space="preserve">Introductory </w:t>
            </w:r>
            <w:r w:rsidR="00231AA5" w:rsidRPr="00E61670">
              <w:rPr>
                <w:rFonts w:ascii="Arial" w:hAnsi="Arial" w:cs="Arial"/>
                <w:sz w:val="22"/>
                <w:szCs w:val="22"/>
              </w:rPr>
              <w:t>Prepositional Phrases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DD49F2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A sentence that begins with a prepositional phrase should be followed by a comma.  </w:t>
            </w:r>
            <w:r w:rsidRPr="00E61670">
              <w:rPr>
                <w:rFonts w:ascii="Arial" w:hAnsi="Arial" w:cs="Arial"/>
                <w:sz w:val="18"/>
                <w:szCs w:val="18"/>
              </w:rPr>
              <w:br/>
            </w:r>
            <w:r w:rsidR="00DD49F2">
              <w:rPr>
                <w:rFonts w:ascii="Arial" w:hAnsi="Arial" w:cs="Arial"/>
                <w:i/>
                <w:sz w:val="18"/>
                <w:szCs w:val="18"/>
              </w:rPr>
              <w:t xml:space="preserve">On a long holiday weekend,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it’s not convenient to call a plumber to fix a leak.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Series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1C11E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Only on Monday, Tuesday, and Wednesday are discounts being offered.</w:t>
            </w:r>
          </w:p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>Sam is the supervisor, Sheri is the office manager, and Bob is the owner.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>Short Quotations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Examples of commas used with quotations:  </w:t>
            </w:r>
            <w:r w:rsidRPr="00E61670">
              <w:rPr>
                <w:rFonts w:ascii="Arial" w:hAnsi="Arial" w:cs="Arial"/>
                <w:i/>
                <w:sz w:val="18"/>
                <w:szCs w:val="18"/>
              </w:rPr>
              <w:t>“The first snowfall,” said Betty, “is usually in December.”  Amber said, “I love winter.”</w:t>
            </w:r>
          </w:p>
        </w:tc>
      </w:tr>
      <w:tr w:rsidR="00231AA5" w:rsidRPr="00E61670" w:rsidTr="009730EB">
        <w:trPr>
          <w:trHeight w:val="720"/>
        </w:trPr>
        <w:tc>
          <w:tcPr>
            <w:tcW w:w="2880" w:type="dxa"/>
            <w:vAlign w:val="center"/>
          </w:tcPr>
          <w:p w:rsidR="00231AA5" w:rsidRPr="00E61670" w:rsidRDefault="00231AA5" w:rsidP="00231AA5">
            <w:pPr>
              <w:rPr>
                <w:rFonts w:ascii="Arial" w:hAnsi="Arial" w:cs="Arial"/>
                <w:sz w:val="22"/>
                <w:szCs w:val="22"/>
              </w:rPr>
            </w:pPr>
            <w:r w:rsidRPr="00E61670">
              <w:rPr>
                <w:rFonts w:ascii="Arial" w:hAnsi="Arial" w:cs="Arial"/>
                <w:sz w:val="22"/>
                <w:szCs w:val="22"/>
              </w:rPr>
              <w:t xml:space="preserve">Terminal </w:t>
            </w:r>
            <w:r w:rsidR="009F4B80">
              <w:rPr>
                <w:rFonts w:ascii="Arial" w:hAnsi="Arial" w:cs="Arial"/>
                <w:sz w:val="22"/>
                <w:szCs w:val="22"/>
              </w:rPr>
              <w:t xml:space="preserve">Dependent </w:t>
            </w:r>
            <w:r w:rsidRPr="00E61670">
              <w:rPr>
                <w:rFonts w:ascii="Arial" w:hAnsi="Arial" w:cs="Arial"/>
                <w:sz w:val="22"/>
                <w:szCs w:val="22"/>
              </w:rPr>
              <w:t>Clauses</w:t>
            </w:r>
          </w:p>
        </w:tc>
        <w:tc>
          <w:tcPr>
            <w:tcW w:w="7200" w:type="dxa"/>
            <w:vAlign w:val="center"/>
          </w:tcPr>
          <w:p w:rsidR="00231AA5" w:rsidRPr="00E61670" w:rsidRDefault="00231AA5" w:rsidP="00A13796">
            <w:pPr>
              <w:rPr>
                <w:rFonts w:ascii="Arial" w:hAnsi="Arial" w:cs="Arial"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>Do not add a comma when a dependent clause follows an independent clause.</w:t>
            </w:r>
            <w:r w:rsidR="00092447" w:rsidRPr="00E6167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31AA5" w:rsidRPr="00E61670" w:rsidRDefault="00231AA5" w:rsidP="009730EB">
            <w:pPr>
              <w:tabs>
                <w:tab w:val="left" w:pos="252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ab/>
              <w:t>Please clean all of the brushes when you finish painting.</w:t>
            </w:r>
          </w:p>
          <w:p w:rsidR="00231AA5" w:rsidRPr="00E61670" w:rsidRDefault="00231AA5" w:rsidP="00A13796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sz w:val="18"/>
                <w:szCs w:val="18"/>
              </w:rPr>
              <w:t xml:space="preserve">Add a comma to terminal clauses that are </w:t>
            </w:r>
            <w:r w:rsidR="00092447" w:rsidRPr="00E61670">
              <w:rPr>
                <w:rFonts w:ascii="Arial" w:hAnsi="Arial" w:cs="Arial"/>
                <w:sz w:val="18"/>
                <w:szCs w:val="18"/>
              </w:rPr>
              <w:t xml:space="preserve">nonessential </w:t>
            </w:r>
            <w:r w:rsidRPr="00E61670">
              <w:rPr>
                <w:rFonts w:ascii="Arial" w:hAnsi="Arial" w:cs="Arial"/>
                <w:sz w:val="18"/>
                <w:szCs w:val="18"/>
              </w:rPr>
              <w:t>or afterthoughts</w:t>
            </w:r>
            <w:r w:rsidR="00C11C6E" w:rsidRPr="00E61670">
              <w:rPr>
                <w:rFonts w:ascii="Arial" w:hAnsi="Arial" w:cs="Arial"/>
                <w:sz w:val="18"/>
                <w:szCs w:val="18"/>
              </w:rPr>
              <w:t xml:space="preserve"> that don’t answer </w:t>
            </w:r>
            <w:r w:rsidR="0028054C" w:rsidRPr="00E61670">
              <w:rPr>
                <w:rFonts w:ascii="Arial" w:hAnsi="Arial" w:cs="Arial"/>
                <w:i/>
                <w:sz w:val="18"/>
                <w:szCs w:val="18"/>
              </w:rPr>
              <w:t>When? Why? or How?</w:t>
            </w:r>
          </w:p>
          <w:p w:rsidR="00231AA5" w:rsidRPr="00E61670" w:rsidRDefault="00231AA5" w:rsidP="0028054C">
            <w:pPr>
              <w:tabs>
                <w:tab w:val="left" w:pos="252"/>
              </w:tabs>
              <w:spacing w:after="80"/>
              <w:rPr>
                <w:rFonts w:ascii="Arial" w:hAnsi="Arial" w:cs="Arial"/>
                <w:i/>
                <w:sz w:val="18"/>
                <w:szCs w:val="18"/>
              </w:rPr>
            </w:pPr>
            <w:r w:rsidRPr="00E61670">
              <w:rPr>
                <w:rFonts w:ascii="Arial" w:hAnsi="Arial" w:cs="Arial"/>
                <w:i/>
                <w:sz w:val="18"/>
                <w:szCs w:val="18"/>
              </w:rPr>
              <w:tab/>
              <w:t>The test we took today was easy, although I didn’t do well.</w:t>
            </w:r>
          </w:p>
        </w:tc>
      </w:tr>
    </w:tbl>
    <w:p w:rsidR="007C3A6E" w:rsidRDefault="007C3A6E"/>
    <w:p w:rsidR="007C3A6E" w:rsidRDefault="007C3A6E"/>
    <w:p w:rsidR="007C3A6E" w:rsidRDefault="00A86929" w:rsidP="00190E27">
      <w:pPr>
        <w:pStyle w:val="HandoutHeading"/>
      </w:pPr>
      <w:r>
        <w:t xml:space="preserve">Introductory </w:t>
      </w:r>
      <w:r w:rsidR="00E70000">
        <w:t xml:space="preserve">Dependent </w:t>
      </w:r>
      <w:r>
        <w:t>Clause Ru</w:t>
      </w:r>
      <w:r w:rsidR="003334C8">
        <w:t>le (Subordinating Conjunctions)</w:t>
      </w:r>
    </w:p>
    <w:p w:rsidR="003334C8" w:rsidRPr="003334C8" w:rsidRDefault="003334C8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If the sentence begins with a subordinating conjunction, you will </w:t>
      </w:r>
      <w:r w:rsidR="001C0A04">
        <w:rPr>
          <w:rFonts w:ascii="Calibri" w:hAnsi="Calibri"/>
          <w:i/>
          <w:sz w:val="22"/>
        </w:rPr>
        <w:t>use</w:t>
      </w:r>
      <w:r>
        <w:rPr>
          <w:rFonts w:ascii="Calibri" w:hAnsi="Calibri"/>
          <w:i/>
          <w:sz w:val="22"/>
        </w:rPr>
        <w:t xml:space="preserve"> a comma to separate the dependent clause from the independent clause.</w:t>
      </w:r>
    </w:p>
    <w:p w:rsidR="007C3A6E" w:rsidRDefault="007C3A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307"/>
        <w:gridCol w:w="2310"/>
        <w:gridCol w:w="2308"/>
      </w:tblGrid>
      <w:tr w:rsidR="007C3A6E" w:rsidRPr="00A86929" w:rsidTr="00EF363E">
        <w:trPr>
          <w:trHeight w:val="432"/>
        </w:trPr>
        <w:tc>
          <w:tcPr>
            <w:tcW w:w="248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after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3334C8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B</w:t>
            </w:r>
            <w:r w:rsidR="007C3A6E" w:rsidRPr="00A86929">
              <w:rPr>
                <w:rFonts w:ascii="Calibri" w:hAnsi="Calibri"/>
                <w:sz w:val="26"/>
              </w:rPr>
              <w:t>ecause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1C0A04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P</w:t>
            </w:r>
            <w:r w:rsidR="007C3A6E" w:rsidRPr="00A86929">
              <w:rPr>
                <w:rFonts w:ascii="Calibri" w:hAnsi="Calibri"/>
                <w:sz w:val="26"/>
              </w:rPr>
              <w:t>rovided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until</w:t>
            </w:r>
          </w:p>
        </w:tc>
      </w:tr>
      <w:tr w:rsidR="007C3A6E" w:rsidRPr="00A86929" w:rsidTr="00EF363E">
        <w:trPr>
          <w:trHeight w:val="432"/>
        </w:trPr>
        <w:tc>
          <w:tcPr>
            <w:tcW w:w="248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although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3334C8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B</w:t>
            </w:r>
            <w:r w:rsidR="007C3A6E" w:rsidRPr="00A86929">
              <w:rPr>
                <w:rFonts w:ascii="Calibri" w:hAnsi="Calibri"/>
                <w:sz w:val="26"/>
              </w:rPr>
              <w:t>efore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1C0A04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S</w:t>
            </w:r>
            <w:r w:rsidR="007C3A6E" w:rsidRPr="00A86929">
              <w:rPr>
                <w:rFonts w:ascii="Calibri" w:hAnsi="Calibri"/>
                <w:sz w:val="26"/>
              </w:rPr>
              <w:t>ince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when</w:t>
            </w:r>
          </w:p>
        </w:tc>
      </w:tr>
      <w:tr w:rsidR="007C3A6E" w:rsidRPr="00A86929" w:rsidTr="00EF363E">
        <w:trPr>
          <w:trHeight w:val="432"/>
        </w:trPr>
        <w:tc>
          <w:tcPr>
            <w:tcW w:w="248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as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even though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so that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where</w:t>
            </w:r>
          </w:p>
        </w:tc>
      </w:tr>
      <w:tr w:rsidR="007C3A6E" w:rsidRPr="00A86929" w:rsidTr="00EF363E">
        <w:trPr>
          <w:trHeight w:val="432"/>
        </w:trPr>
        <w:tc>
          <w:tcPr>
            <w:tcW w:w="248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as if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3334C8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</w:t>
            </w:r>
            <w:r w:rsidR="007C3A6E" w:rsidRPr="00A86929">
              <w:rPr>
                <w:rFonts w:ascii="Calibri" w:hAnsi="Calibri"/>
                <w:sz w:val="26"/>
              </w:rPr>
              <w:t>f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1C0A04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T</w:t>
            </w:r>
            <w:r w:rsidR="007C3A6E" w:rsidRPr="00A86929">
              <w:rPr>
                <w:rFonts w:ascii="Calibri" w:hAnsi="Calibri"/>
                <w:sz w:val="26"/>
              </w:rPr>
              <w:t>hat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whether</w:t>
            </w:r>
          </w:p>
        </w:tc>
      </w:tr>
      <w:tr w:rsidR="007C3A6E" w:rsidRPr="00A86929" w:rsidTr="00EF363E">
        <w:trPr>
          <w:trHeight w:val="432"/>
        </w:trPr>
        <w:tc>
          <w:tcPr>
            <w:tcW w:w="248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as though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in order that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1C0A04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U</w:t>
            </w:r>
            <w:r w:rsidR="007C3A6E" w:rsidRPr="00A86929">
              <w:rPr>
                <w:rFonts w:ascii="Calibri" w:hAnsi="Calibri"/>
                <w:sz w:val="26"/>
              </w:rPr>
              <w:t>nless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7C3A6E" w:rsidRPr="00A86929" w:rsidRDefault="007C3A6E" w:rsidP="007C3A6E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while</w:t>
            </w:r>
          </w:p>
        </w:tc>
      </w:tr>
    </w:tbl>
    <w:p w:rsidR="007C3A6E" w:rsidRDefault="007C3A6E"/>
    <w:p w:rsidR="007C3A6E" w:rsidRDefault="007C3A6E"/>
    <w:p w:rsidR="007C3A6E" w:rsidRDefault="007C3A6E"/>
    <w:p w:rsidR="007C3A6E" w:rsidRDefault="002F0490" w:rsidP="00190E27">
      <w:pPr>
        <w:pStyle w:val="HandoutHeading"/>
      </w:pPr>
      <w:r>
        <w:t>Conjunctive Adverbs</w:t>
      </w:r>
      <w:r w:rsidR="00A821B9" w:rsidRPr="00A821B9">
        <w:t xml:space="preserve"> </w:t>
      </w:r>
      <w:r w:rsidR="00A821B9" w:rsidRPr="003334C8">
        <w:rPr>
          <w:u w:val="single"/>
        </w:rPr>
        <w:t>OR</w:t>
      </w:r>
      <w:r w:rsidR="00A821B9" w:rsidRPr="00A86929">
        <w:t xml:space="preserve"> Parenthetical </w:t>
      </w:r>
      <w:r w:rsidR="00A821B9">
        <w:t>Expressions</w:t>
      </w:r>
    </w:p>
    <w:p w:rsidR="003334C8" w:rsidRDefault="003334C8" w:rsidP="003334C8">
      <w:pPr>
        <w:spacing w:after="120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If the conjunctive adverb is in between </w:t>
      </w:r>
      <w:r w:rsidRPr="00901B62">
        <w:rPr>
          <w:rFonts w:ascii="Calibri" w:hAnsi="Calibri"/>
          <w:i/>
          <w:sz w:val="22"/>
          <w:u w:val="single"/>
        </w:rPr>
        <w:t>two</w:t>
      </w:r>
      <w:r>
        <w:rPr>
          <w:rFonts w:ascii="Calibri" w:hAnsi="Calibri"/>
          <w:i/>
          <w:sz w:val="22"/>
        </w:rPr>
        <w:t xml:space="preserve"> sentences, you need a semicolon before it and a comma after it (unless it’s one syllable).  </w:t>
      </w:r>
    </w:p>
    <w:p w:rsidR="003334C8" w:rsidRPr="003334C8" w:rsidRDefault="003334C8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If a parenthetical expression is within </w:t>
      </w:r>
      <w:r w:rsidRPr="00901B62">
        <w:rPr>
          <w:rFonts w:ascii="Calibri" w:hAnsi="Calibri"/>
          <w:i/>
          <w:sz w:val="22"/>
          <w:u w:val="single"/>
        </w:rPr>
        <w:t>one</w:t>
      </w:r>
      <w:r>
        <w:rPr>
          <w:rFonts w:ascii="Calibri" w:hAnsi="Calibri"/>
          <w:i/>
          <w:sz w:val="22"/>
        </w:rPr>
        <w:t xml:space="preserve"> sentence, you need a comma before and after it.</w:t>
      </w:r>
    </w:p>
    <w:p w:rsidR="007C3A6E" w:rsidRDefault="007C3A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accordingly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however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nevertheless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also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in fact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on the contrary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anyway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in other words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on the other hand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consequently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in the meantime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otherwise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for example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indeed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that is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for instance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likewise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then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furthermore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moreover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therefore</w:t>
            </w:r>
          </w:p>
        </w:tc>
      </w:tr>
      <w:tr w:rsidR="00426300" w:rsidRPr="00A86929" w:rsidTr="00EF363E">
        <w:trPr>
          <w:trHeight w:val="432"/>
        </w:trPr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hence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namely</w:t>
            </w:r>
          </w:p>
        </w:tc>
        <w:tc>
          <w:tcPr>
            <w:tcW w:w="3024" w:type="dxa"/>
            <w:shd w:val="clear" w:color="auto" w:fill="auto"/>
            <w:vAlign w:val="center"/>
          </w:tcPr>
          <w:p w:rsidR="00426300" w:rsidRPr="00A86929" w:rsidRDefault="00426300" w:rsidP="00426300">
            <w:pPr>
              <w:rPr>
                <w:rFonts w:ascii="Calibri" w:hAnsi="Calibri"/>
                <w:sz w:val="26"/>
              </w:rPr>
            </w:pPr>
            <w:r w:rsidRPr="00A86929">
              <w:rPr>
                <w:rFonts w:ascii="Calibri" w:hAnsi="Calibri"/>
                <w:sz w:val="26"/>
              </w:rPr>
              <w:t>thus</w:t>
            </w:r>
          </w:p>
        </w:tc>
      </w:tr>
    </w:tbl>
    <w:p w:rsidR="007C3A6E" w:rsidRDefault="007C3A6E"/>
    <w:p w:rsidR="007C3A6E" w:rsidRDefault="007C3A6E"/>
    <w:p w:rsidR="0045306D" w:rsidRDefault="0045306D"/>
    <w:p w:rsidR="0045306D" w:rsidRPr="00A86929" w:rsidRDefault="0045306D" w:rsidP="00190E27">
      <w:pPr>
        <w:pStyle w:val="HandoutHeading"/>
      </w:pPr>
      <w:r>
        <w:t xml:space="preserve">Miscellaneous </w:t>
      </w:r>
      <w:r w:rsidR="00190E27">
        <w:t>R</w:t>
      </w:r>
      <w:r>
        <w:t>ules</w:t>
      </w:r>
    </w:p>
    <w:p w:rsidR="0045306D" w:rsidRDefault="0045306D" w:rsidP="0045306D"/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3"/>
        <w:gridCol w:w="6817"/>
      </w:tblGrid>
      <w:tr w:rsidR="0045306D" w:rsidRPr="00032FB1" w:rsidTr="00190E27">
        <w:trPr>
          <w:trHeight w:val="576"/>
        </w:trPr>
        <w:tc>
          <w:tcPr>
            <w:tcW w:w="2633" w:type="dxa"/>
            <w:vAlign w:val="center"/>
          </w:tcPr>
          <w:p w:rsidR="0045306D" w:rsidRPr="001C258B" w:rsidRDefault="001C258B" w:rsidP="00C03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Adverb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too </w:t>
            </w:r>
            <w:r>
              <w:rPr>
                <w:rFonts w:ascii="Arial" w:hAnsi="Arial" w:cs="Arial"/>
                <w:sz w:val="22"/>
                <w:szCs w:val="22"/>
              </w:rPr>
              <w:t>rule</w:t>
            </w:r>
          </w:p>
        </w:tc>
        <w:tc>
          <w:tcPr>
            <w:tcW w:w="6817" w:type="dxa"/>
            <w:vAlign w:val="center"/>
          </w:tcPr>
          <w:p w:rsidR="0045306D" w:rsidRPr="00032FB1" w:rsidRDefault="0045306D" w:rsidP="00C03EC2">
            <w:pPr>
              <w:tabs>
                <w:tab w:val="left" w:pos="252"/>
              </w:tabs>
              <w:spacing w:after="80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5306D" w:rsidRPr="00032FB1" w:rsidTr="00190E27">
        <w:trPr>
          <w:trHeight w:val="576"/>
        </w:trPr>
        <w:tc>
          <w:tcPr>
            <w:tcW w:w="2633" w:type="dxa"/>
            <w:vAlign w:val="center"/>
          </w:tcPr>
          <w:p w:rsidR="0045306D" w:rsidRPr="00032FB1" w:rsidRDefault="001C258B" w:rsidP="00C03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word appositive</w:t>
            </w:r>
          </w:p>
        </w:tc>
        <w:tc>
          <w:tcPr>
            <w:tcW w:w="6817" w:type="dxa"/>
            <w:vAlign w:val="center"/>
          </w:tcPr>
          <w:p w:rsidR="0045306D" w:rsidRDefault="0045306D" w:rsidP="00C03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306D" w:rsidRPr="00032FB1" w:rsidTr="00190E27">
        <w:trPr>
          <w:trHeight w:val="576"/>
        </w:trPr>
        <w:tc>
          <w:tcPr>
            <w:tcW w:w="2633" w:type="dxa"/>
            <w:vAlign w:val="center"/>
          </w:tcPr>
          <w:p w:rsidR="0045306D" w:rsidRPr="00032FB1" w:rsidRDefault="0045306D" w:rsidP="00C03E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  <w:vAlign w:val="center"/>
          </w:tcPr>
          <w:p w:rsidR="0045306D" w:rsidRDefault="0045306D" w:rsidP="00C03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34C8" w:rsidRPr="00032FB1" w:rsidTr="00190E27">
        <w:trPr>
          <w:trHeight w:val="576"/>
        </w:trPr>
        <w:tc>
          <w:tcPr>
            <w:tcW w:w="2633" w:type="dxa"/>
            <w:vAlign w:val="center"/>
          </w:tcPr>
          <w:p w:rsidR="003334C8" w:rsidRPr="00032FB1" w:rsidRDefault="003334C8" w:rsidP="00C03E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  <w:vAlign w:val="center"/>
          </w:tcPr>
          <w:p w:rsidR="003334C8" w:rsidRDefault="003334C8" w:rsidP="00C03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4B80" w:rsidRPr="00032FB1" w:rsidTr="00190E27">
        <w:trPr>
          <w:trHeight w:val="576"/>
        </w:trPr>
        <w:tc>
          <w:tcPr>
            <w:tcW w:w="2633" w:type="dxa"/>
            <w:vAlign w:val="center"/>
          </w:tcPr>
          <w:p w:rsidR="009F4B80" w:rsidRPr="00032FB1" w:rsidRDefault="009F4B80" w:rsidP="00C03E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17" w:type="dxa"/>
            <w:vAlign w:val="center"/>
          </w:tcPr>
          <w:p w:rsidR="009F4B80" w:rsidRDefault="009F4B80" w:rsidP="00C03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5306D" w:rsidRDefault="0045306D"/>
    <w:sectPr w:rsidR="0045306D" w:rsidSect="004A582C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42"/>
    <w:rsid w:val="00032FB1"/>
    <w:rsid w:val="00092447"/>
    <w:rsid w:val="000E7142"/>
    <w:rsid w:val="0012085F"/>
    <w:rsid w:val="00190E27"/>
    <w:rsid w:val="001B56AC"/>
    <w:rsid w:val="001C0A04"/>
    <w:rsid w:val="001C11EB"/>
    <w:rsid w:val="001C258B"/>
    <w:rsid w:val="00231AA5"/>
    <w:rsid w:val="0028054C"/>
    <w:rsid w:val="002F0490"/>
    <w:rsid w:val="002F420C"/>
    <w:rsid w:val="003014F1"/>
    <w:rsid w:val="003334C8"/>
    <w:rsid w:val="00377A86"/>
    <w:rsid w:val="00380DD1"/>
    <w:rsid w:val="003D5A80"/>
    <w:rsid w:val="003E08DB"/>
    <w:rsid w:val="0041136A"/>
    <w:rsid w:val="00426300"/>
    <w:rsid w:val="0045306D"/>
    <w:rsid w:val="004A582C"/>
    <w:rsid w:val="004D186B"/>
    <w:rsid w:val="004E4BED"/>
    <w:rsid w:val="007165EA"/>
    <w:rsid w:val="00721C1D"/>
    <w:rsid w:val="00796591"/>
    <w:rsid w:val="007A28EC"/>
    <w:rsid w:val="007B010B"/>
    <w:rsid w:val="007C3A6E"/>
    <w:rsid w:val="007C6DBD"/>
    <w:rsid w:val="00901B62"/>
    <w:rsid w:val="00952F13"/>
    <w:rsid w:val="009624B8"/>
    <w:rsid w:val="009730EB"/>
    <w:rsid w:val="00977FF2"/>
    <w:rsid w:val="009F4B80"/>
    <w:rsid w:val="00A0424A"/>
    <w:rsid w:val="00A13796"/>
    <w:rsid w:val="00A77290"/>
    <w:rsid w:val="00A821B9"/>
    <w:rsid w:val="00A86929"/>
    <w:rsid w:val="00B117C0"/>
    <w:rsid w:val="00B6758F"/>
    <w:rsid w:val="00BA4F8D"/>
    <w:rsid w:val="00BF4764"/>
    <w:rsid w:val="00C03EC2"/>
    <w:rsid w:val="00C11C6E"/>
    <w:rsid w:val="00D14409"/>
    <w:rsid w:val="00DD49F2"/>
    <w:rsid w:val="00E61670"/>
    <w:rsid w:val="00E70000"/>
    <w:rsid w:val="00E93BDF"/>
    <w:rsid w:val="00EF363E"/>
    <w:rsid w:val="00F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7C467CBC"/>
  <w15:chartTrackingRefBased/>
  <w15:docId w15:val="{2616B1DF-AEB6-4A6E-B834-CCAEF39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E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4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4B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90E27"/>
    <w:pPr>
      <w:contextualSpacing/>
    </w:pPr>
    <w:rPr>
      <w:rFonts w:asciiTheme="minorHAnsi" w:eastAsiaTheme="majorEastAsia" w:hAnsiTheme="minorHAnsi" w:cstheme="minorHAns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190E27"/>
    <w:rPr>
      <w:rFonts w:asciiTheme="minorHAnsi" w:eastAsiaTheme="majorEastAsia" w:hAnsiTheme="minorHAnsi" w:cstheme="minorHAnsi"/>
      <w:b/>
      <w:spacing w:val="-10"/>
      <w:kern w:val="28"/>
      <w:sz w:val="44"/>
      <w:szCs w:val="44"/>
    </w:rPr>
  </w:style>
  <w:style w:type="paragraph" w:customStyle="1" w:styleId="HandoutHeading">
    <w:name w:val="HandoutHeading"/>
    <w:basedOn w:val="Normal"/>
    <w:qFormat/>
    <w:rsid w:val="00190E27"/>
    <w:rPr>
      <w:rFonts w:ascii="Calibri" w:hAnsi="Calibr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Punctuation Rules</vt:lpstr>
    </vt:vector>
  </TitlesOfParts>
  <Company>Des Moines Area Community College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Punctuation Rules</dc:title>
  <dc:subject/>
  <dc:creator>clturner</dc:creator>
  <cp:keywords/>
  <dc:description/>
  <cp:lastModifiedBy>Turner, Christina L</cp:lastModifiedBy>
  <cp:revision>4</cp:revision>
  <cp:lastPrinted>2018-05-29T17:01:00Z</cp:lastPrinted>
  <dcterms:created xsi:type="dcterms:W3CDTF">2018-05-29T17:01:00Z</dcterms:created>
  <dcterms:modified xsi:type="dcterms:W3CDTF">2018-05-29T17:04:00Z</dcterms:modified>
</cp:coreProperties>
</file>