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B23" w:rsidRDefault="00921A02" w:rsidP="00921A02">
      <w:r>
        <w:t xml:space="preserve">Triston Luzanta </w:t>
      </w:r>
    </w:p>
    <w:p w:rsidR="00921A02" w:rsidRDefault="00921A02" w:rsidP="00921A02">
      <w:proofErr w:type="spellStart"/>
      <w:r>
        <w:t>Matlab</w:t>
      </w:r>
      <w:proofErr w:type="spellEnd"/>
      <w:r>
        <w:t xml:space="preserve"> Project 2</w:t>
      </w:r>
    </w:p>
    <w:p w:rsidR="00921A02" w:rsidRDefault="00921A02" w:rsidP="00921A02">
      <w:r>
        <w:t xml:space="preserve">ECE 2523 </w:t>
      </w:r>
    </w:p>
    <w:tbl>
      <w:tblPr>
        <w:tblStyle w:val="TableGrid"/>
        <w:tblpPr w:leftFromText="180" w:rightFromText="180" w:vertAnchor="page" w:horzAnchor="margin" w:tblpY="3436"/>
        <w:tblW w:w="9535" w:type="dxa"/>
        <w:tblLook w:val="04A0" w:firstRow="1" w:lastRow="0" w:firstColumn="1" w:lastColumn="0" w:noHBand="0" w:noVBand="1"/>
      </w:tblPr>
      <w:tblGrid>
        <w:gridCol w:w="2055"/>
        <w:gridCol w:w="1870"/>
        <w:gridCol w:w="1870"/>
        <w:gridCol w:w="1870"/>
        <w:gridCol w:w="1870"/>
      </w:tblGrid>
      <w:tr w:rsidR="00921A02" w:rsidTr="00921A02">
        <w:tc>
          <w:tcPr>
            <w:tcW w:w="2055" w:type="dxa"/>
          </w:tcPr>
          <w:p w:rsidR="00921A02" w:rsidRDefault="00921A02" w:rsidP="00921A02">
            <w:pPr>
              <w:jc w:val="center"/>
            </w:pPr>
            <w:r>
              <w:t>Machine</w:t>
            </w:r>
          </w:p>
        </w:tc>
        <w:tc>
          <w:tcPr>
            <w:tcW w:w="1870" w:type="dxa"/>
          </w:tcPr>
          <w:p w:rsidR="00921A02" w:rsidRPr="00A0653F" w:rsidRDefault="00921A02" w:rsidP="00921A02">
            <w:pPr>
              <w:jc w:val="center"/>
            </w:pPr>
            <w:r>
              <w:t>P[</w:t>
            </w:r>
            <w:proofErr w:type="spellStart"/>
            <w:r>
              <w:t>A|B</w:t>
            </w:r>
            <w:r>
              <w:rPr>
                <w:vertAlign w:val="subscript"/>
              </w:rPr>
              <w:t>i</w:t>
            </w:r>
            <w:proofErr w:type="spellEnd"/>
            <w:r>
              <w:t>]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P[B</w:t>
            </w:r>
            <w:r>
              <w:rPr>
                <w:vertAlign w:val="subscript"/>
              </w:rPr>
              <w:t>i</w:t>
            </w:r>
            <w:r>
              <w:t>]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P[</w:t>
            </w:r>
            <w:proofErr w:type="spellStart"/>
            <w:r>
              <w:t>B</w:t>
            </w:r>
            <w:r>
              <w:rPr>
                <w:vertAlign w:val="subscript"/>
              </w:rPr>
              <w:t>i</w:t>
            </w:r>
            <w:r>
              <w:t>|A</w:t>
            </w:r>
            <w:proofErr w:type="spellEnd"/>
            <w:r>
              <w:t>]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Resistors/Hour</w:t>
            </w:r>
          </w:p>
        </w:tc>
      </w:tr>
      <w:tr w:rsidR="00921A02" w:rsidTr="00921A02">
        <w:tc>
          <w:tcPr>
            <w:tcW w:w="2055" w:type="dxa"/>
          </w:tcPr>
          <w:p w:rsidR="00921A02" w:rsidRPr="00A0653F" w:rsidRDefault="00921A02" w:rsidP="00921A02">
            <w:pPr>
              <w:jc w:val="center"/>
            </w:pPr>
            <w:r>
              <w:t>B</w:t>
            </w:r>
            <w:r>
              <w:rPr>
                <w:vertAlign w:val="subscript"/>
              </w:rPr>
              <w:t>1</w:t>
            </w:r>
            <w:r>
              <w:t xml:space="preserve"> (after upgrade)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0.9008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0.25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0.28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4000</w:t>
            </w:r>
          </w:p>
        </w:tc>
      </w:tr>
      <w:tr w:rsidR="00921A02" w:rsidTr="00921A02">
        <w:tc>
          <w:tcPr>
            <w:tcW w:w="2055" w:type="dxa"/>
          </w:tcPr>
          <w:p w:rsidR="00921A02" w:rsidRPr="00A0653F" w:rsidRDefault="00921A02" w:rsidP="00921A02">
            <w:r>
              <w:t>B</w:t>
            </w:r>
            <w:r>
              <w:rPr>
                <w:vertAlign w:val="subscript"/>
              </w:rPr>
              <w:t xml:space="preserve">1 </w:t>
            </w:r>
            <w:r>
              <w:t>(before upgrade)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0.8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0.3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0.31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3000</w:t>
            </w:r>
          </w:p>
        </w:tc>
      </w:tr>
      <w:tr w:rsidR="00921A02" w:rsidTr="00921A02">
        <w:tc>
          <w:tcPr>
            <w:tcW w:w="2055" w:type="dxa"/>
          </w:tcPr>
          <w:p w:rsidR="00921A02" w:rsidRPr="00A0653F" w:rsidRDefault="00921A02" w:rsidP="00921A02">
            <w:pPr>
              <w:jc w:val="center"/>
            </w:pPr>
            <w:r>
              <w:t>B</w:t>
            </w:r>
            <w:r>
              <w:rPr>
                <w:vertAlign w:val="subscript"/>
              </w:rPr>
              <w:t xml:space="preserve">2 </w:t>
            </w:r>
            <w:r>
              <w:t>(after upgrade)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0.7085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0.25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0.2202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4000</w:t>
            </w:r>
          </w:p>
        </w:tc>
      </w:tr>
      <w:tr w:rsidR="00921A02" w:rsidTr="00921A02">
        <w:tc>
          <w:tcPr>
            <w:tcW w:w="2055" w:type="dxa"/>
          </w:tcPr>
          <w:p w:rsidR="00921A02" w:rsidRPr="00A0653F" w:rsidRDefault="00921A02" w:rsidP="00921A02">
            <w:pPr>
              <w:jc w:val="center"/>
            </w:pPr>
            <w:r>
              <w:t>B</w:t>
            </w:r>
            <w:r>
              <w:rPr>
                <w:vertAlign w:val="subscript"/>
              </w:rPr>
              <w:t xml:space="preserve">2 </w:t>
            </w:r>
            <w:r>
              <w:t>(before upgrade)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0.9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0.4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0.46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4000</w:t>
            </w:r>
          </w:p>
        </w:tc>
      </w:tr>
      <w:tr w:rsidR="00921A02" w:rsidTr="00921A02">
        <w:tc>
          <w:tcPr>
            <w:tcW w:w="2055" w:type="dxa"/>
          </w:tcPr>
          <w:p w:rsidR="00921A02" w:rsidRPr="00A0653F" w:rsidRDefault="00921A02" w:rsidP="00921A02">
            <w:pPr>
              <w:jc w:val="center"/>
            </w:pPr>
            <w:r>
              <w:t>B</w:t>
            </w:r>
            <w:r>
              <w:rPr>
                <w:vertAlign w:val="subscript"/>
              </w:rPr>
              <w:t xml:space="preserve">3 </w:t>
            </w:r>
            <w:r>
              <w:t>(after upgrade)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0.8038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0.5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0.4997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8000</w:t>
            </w:r>
          </w:p>
        </w:tc>
      </w:tr>
      <w:tr w:rsidR="00921A02" w:rsidTr="00921A02">
        <w:tc>
          <w:tcPr>
            <w:tcW w:w="2055" w:type="dxa"/>
          </w:tcPr>
          <w:p w:rsidR="00921A02" w:rsidRPr="00A0653F" w:rsidRDefault="00921A02" w:rsidP="00921A02">
            <w:pPr>
              <w:jc w:val="center"/>
            </w:pPr>
            <w:r>
              <w:t>B</w:t>
            </w:r>
            <w:r>
              <w:rPr>
                <w:vertAlign w:val="subscript"/>
              </w:rPr>
              <w:t xml:space="preserve">3 </w:t>
            </w:r>
            <w:r>
              <w:t>(before upgrade)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0.6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0.3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0.23</w:t>
            </w:r>
          </w:p>
        </w:tc>
        <w:tc>
          <w:tcPr>
            <w:tcW w:w="1870" w:type="dxa"/>
          </w:tcPr>
          <w:p w:rsidR="00921A02" w:rsidRDefault="00921A02" w:rsidP="00921A02">
            <w:pPr>
              <w:jc w:val="center"/>
            </w:pPr>
            <w:r>
              <w:t>3000</w:t>
            </w:r>
          </w:p>
        </w:tc>
      </w:tr>
    </w:tbl>
    <w:p w:rsidR="00921A02" w:rsidRDefault="00A473FF" w:rsidP="006C6D8C">
      <w:r>
        <w:tab/>
      </w:r>
    </w:p>
    <w:p w:rsidR="00F813BB" w:rsidRDefault="00F813BB" w:rsidP="006C6D8C"/>
    <w:p w:rsidR="00F813BB" w:rsidRDefault="00F813BB" w:rsidP="006C6D8C"/>
    <w:p w:rsidR="00F813BB" w:rsidRDefault="00921A02" w:rsidP="006C6D8C">
      <w:r>
        <w:t xml:space="preserve">To figure out how to get the probability of the total acceptable resistors of the entire factory together, we use the law of total probability. These values were calculated from our </w:t>
      </w:r>
      <w:proofErr w:type="spellStart"/>
      <w:r>
        <w:t>Matlab</w:t>
      </w:r>
      <w:proofErr w:type="spellEnd"/>
      <w:r>
        <w:t xml:space="preserve"> Functions. </w:t>
      </w:r>
    </w:p>
    <w:p w:rsidR="00921A02" w:rsidRDefault="00921A02" w:rsidP="006C6D8C">
      <w:r>
        <w:tab/>
        <w:t>P[A] = P[A|B</w:t>
      </w:r>
      <w:r>
        <w:rPr>
          <w:vertAlign w:val="subscript"/>
        </w:rPr>
        <w:t>1</w:t>
      </w:r>
      <w:r>
        <w:t>] * P[B</w:t>
      </w:r>
      <w:r>
        <w:rPr>
          <w:vertAlign w:val="subscript"/>
        </w:rPr>
        <w:t>1</w:t>
      </w:r>
      <w:r>
        <w:t>] + P[A|B</w:t>
      </w:r>
      <w:r>
        <w:rPr>
          <w:vertAlign w:val="subscript"/>
        </w:rPr>
        <w:t>2</w:t>
      </w:r>
      <w:r>
        <w:t>] * P[B</w:t>
      </w:r>
      <w:r>
        <w:rPr>
          <w:vertAlign w:val="subscript"/>
        </w:rPr>
        <w:t>2</w:t>
      </w:r>
      <w:r>
        <w:t>] + P[A|B</w:t>
      </w:r>
      <w:r>
        <w:rPr>
          <w:vertAlign w:val="subscript"/>
        </w:rPr>
        <w:t>3</w:t>
      </w:r>
      <w:r>
        <w:t>] * P[B</w:t>
      </w:r>
      <w:r>
        <w:rPr>
          <w:vertAlign w:val="subscript"/>
        </w:rPr>
        <w:t>3</w:t>
      </w:r>
      <w:r>
        <w:t>]</w:t>
      </w:r>
    </w:p>
    <w:p w:rsidR="00921A02" w:rsidRDefault="00921A02" w:rsidP="006C6D8C">
      <w:r>
        <w:tab/>
        <w:t>P[A] = (0.9008) * (0.25) + (0.7085) * (0.25) + (0.8038) * (0.50) = 0.80</w:t>
      </w:r>
      <w:r w:rsidR="00F813BB">
        <w:t>4</w:t>
      </w:r>
      <w:r>
        <w:t>225</w:t>
      </w:r>
    </w:p>
    <w:p w:rsidR="00F813BB" w:rsidRDefault="00A473FF" w:rsidP="00F813BB">
      <w:r>
        <w:t xml:space="preserve">If all the resistors were mixed together randomly in a box, the probability of drawing an acceptable resistor from the box would be 0.804225 or </w:t>
      </w:r>
      <w:r w:rsidRPr="00A87AC6">
        <w:rPr>
          <w:bdr w:val="single" w:sz="4" w:space="0" w:color="auto"/>
        </w:rPr>
        <w:t xml:space="preserve">80.4225% </w:t>
      </w:r>
      <w:r w:rsidR="001D6B23" w:rsidRPr="00A87AC6">
        <w:rPr>
          <w:bdr w:val="single" w:sz="4" w:space="0" w:color="auto"/>
        </w:rPr>
        <w:t>chance.</w:t>
      </w:r>
      <w:r w:rsidR="001D6B23">
        <w:t xml:space="preserve"> </w:t>
      </w:r>
    </w:p>
    <w:p w:rsidR="00F813BB" w:rsidRDefault="00F813BB" w:rsidP="00F813BB">
      <w:r>
        <w:t xml:space="preserve">To get </w:t>
      </w:r>
      <w:bookmarkStart w:id="0" w:name="_GoBack"/>
      <w:bookmarkEnd w:id="0"/>
      <w:r>
        <w:t>P[</w:t>
      </w:r>
      <w:proofErr w:type="spellStart"/>
      <w:r>
        <w:t>B</w:t>
      </w:r>
      <w:r>
        <w:rPr>
          <w:vertAlign w:val="subscript"/>
        </w:rPr>
        <w:t>i</w:t>
      </w:r>
      <w:r>
        <w:t>|A</w:t>
      </w:r>
      <w:proofErr w:type="spellEnd"/>
      <w:r>
        <w:t xml:space="preserve">], we used Bayes Theorem. </w:t>
      </w:r>
    </w:p>
    <w:p w:rsidR="00F813BB" w:rsidRDefault="00F813BB" w:rsidP="00F813BB">
      <w:r>
        <w:tab/>
        <w:t>Where, P[</w:t>
      </w:r>
      <w:proofErr w:type="spellStart"/>
      <w:r>
        <w:t>B</w:t>
      </w:r>
      <w:r>
        <w:rPr>
          <w:vertAlign w:val="subscript"/>
        </w:rPr>
        <w:t>i</w:t>
      </w:r>
      <w:r>
        <w:t>|A</w:t>
      </w:r>
      <w:proofErr w:type="spellEnd"/>
      <w:r>
        <w:t xml:space="preserve">]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P[A|B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P[A] </m:t>
            </m:r>
          </m:den>
        </m:f>
      </m:oMath>
      <w:r>
        <w:rPr>
          <w:rFonts w:eastAsiaTheme="minorEastAsia"/>
        </w:rPr>
        <w:t xml:space="preserve"> * </w:t>
      </w:r>
      <w:r>
        <w:t>P[B</w:t>
      </w:r>
      <w:r>
        <w:rPr>
          <w:vertAlign w:val="subscript"/>
        </w:rPr>
        <w:t>i</w:t>
      </w:r>
      <w:r>
        <w:t>]</w:t>
      </w:r>
      <w:r w:rsidR="00DE7368">
        <w:t xml:space="preserve"> </w:t>
      </w:r>
    </w:p>
    <w:p w:rsidR="00DE7368" w:rsidRDefault="00DE7368" w:rsidP="00F813BB">
      <w:r>
        <w:tab/>
      </w:r>
      <w:r>
        <w:tab/>
        <w:t xml:space="preserve">Ex. </w:t>
      </w:r>
      <w:r>
        <w:t>P[B</w:t>
      </w:r>
      <w:r>
        <w:rPr>
          <w:vertAlign w:val="subscript"/>
        </w:rPr>
        <w:t>1</w:t>
      </w:r>
      <w:r>
        <w:t xml:space="preserve">|A]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0.9008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0.804225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rFonts w:eastAsiaTheme="minorEastAsia"/>
        </w:rPr>
        <w:t xml:space="preserve"> * </w:t>
      </w:r>
      <w:r>
        <w:rPr>
          <w:rFonts w:eastAsiaTheme="minorEastAsia"/>
        </w:rPr>
        <w:t xml:space="preserve">0.25 = 0.28 </w:t>
      </w:r>
    </w:p>
    <w:p w:rsidR="00F813BB" w:rsidRDefault="00F813BB" w:rsidP="00F813BB">
      <w:r>
        <w:t xml:space="preserve">We then plug in the nominal values </w:t>
      </w:r>
      <w:r w:rsidR="00E721A9">
        <w:t xml:space="preserve">for each resistor machine </w:t>
      </w:r>
      <w:r>
        <w:t>into this equation to figure out the probability</w:t>
      </w:r>
      <w:r w:rsidR="006740A5">
        <w:t xml:space="preserve"> of withdrawing an acceptable resistor from the corresponding resistor machine out of the entire factory. </w:t>
      </w:r>
    </w:p>
    <w:p w:rsidR="00F813BB" w:rsidRDefault="00F813BB" w:rsidP="006C6D8C"/>
    <w:p w:rsidR="00921A02" w:rsidRPr="00921A02" w:rsidRDefault="00921A02" w:rsidP="00921A02"/>
    <w:p w:rsidR="00921A02" w:rsidRPr="00921A02" w:rsidRDefault="00921A02" w:rsidP="00921A02"/>
    <w:p w:rsidR="00921A02" w:rsidRPr="00921A02" w:rsidRDefault="00921A02" w:rsidP="00921A02"/>
    <w:p w:rsidR="00921A02" w:rsidRPr="00921A02" w:rsidRDefault="00921A02" w:rsidP="00921A02"/>
    <w:p w:rsidR="00921A02" w:rsidRDefault="00921A02" w:rsidP="00921A02"/>
    <w:p w:rsidR="006740A5" w:rsidRDefault="006740A5" w:rsidP="00921A02">
      <w:pPr>
        <w:tabs>
          <w:tab w:val="left" w:pos="1185"/>
        </w:tabs>
      </w:pPr>
    </w:p>
    <w:p w:rsidR="00921A02" w:rsidRDefault="00921A02" w:rsidP="00921A02">
      <w:pPr>
        <w:tabs>
          <w:tab w:val="left" w:pos="1185"/>
        </w:tabs>
      </w:pPr>
      <w:r>
        <w:lastRenderedPageBreak/>
        <w:t xml:space="preserve">Appendix: </w:t>
      </w:r>
    </w:p>
    <w:p w:rsidR="00921A02" w:rsidRDefault="00921A02" w:rsidP="00921A02">
      <w:pPr>
        <w:tabs>
          <w:tab w:val="left" w:pos="1185"/>
        </w:tabs>
      </w:pPr>
    </w:p>
    <w:p w:rsidR="00921A02" w:rsidRDefault="00921A02" w:rsidP="00921A02">
      <w:pPr>
        <w:tabs>
          <w:tab w:val="left" w:pos="118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E9CCFB" wp14:editId="0F69999F">
            <wp:simplePos x="0" y="0"/>
            <wp:positionH relativeFrom="page">
              <wp:align>left</wp:align>
            </wp:positionH>
            <wp:positionV relativeFrom="paragraph">
              <wp:posOffset>285750</wp:posOffset>
            </wp:positionV>
            <wp:extent cx="8000262" cy="132397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0262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Main File: </w:t>
      </w:r>
    </w:p>
    <w:p w:rsidR="00921A02" w:rsidRDefault="00921A02" w:rsidP="00921A02">
      <w:pPr>
        <w:tabs>
          <w:tab w:val="left" w:pos="1185"/>
        </w:tabs>
      </w:pPr>
    </w:p>
    <w:p w:rsidR="00921A02" w:rsidRDefault="00921A02" w:rsidP="00921A02">
      <w:pPr>
        <w:tabs>
          <w:tab w:val="left" w:pos="118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475C90" wp14:editId="6AB6C911">
            <wp:simplePos x="0" y="0"/>
            <wp:positionH relativeFrom="page">
              <wp:align>left</wp:align>
            </wp:positionH>
            <wp:positionV relativeFrom="paragraph">
              <wp:posOffset>286385</wp:posOffset>
            </wp:positionV>
            <wp:extent cx="8961869" cy="5143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869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CalcAcceptable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: </w:t>
      </w:r>
    </w:p>
    <w:p w:rsidR="00921A02" w:rsidRDefault="00921A02" w:rsidP="00921A02">
      <w:pPr>
        <w:tabs>
          <w:tab w:val="left" w:pos="1185"/>
        </w:tabs>
      </w:pPr>
    </w:p>
    <w:p w:rsidR="00921A02" w:rsidRDefault="00921A02" w:rsidP="00921A02">
      <w:pPr>
        <w:tabs>
          <w:tab w:val="left" w:pos="118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25F519" wp14:editId="0F388206">
            <wp:simplePos x="0" y="0"/>
            <wp:positionH relativeFrom="page">
              <wp:align>left</wp:align>
            </wp:positionH>
            <wp:positionV relativeFrom="paragraph">
              <wp:posOffset>285749</wp:posOffset>
            </wp:positionV>
            <wp:extent cx="8075125" cy="399097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5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CalcFreq1 </w:t>
      </w:r>
      <w:proofErr w:type="spellStart"/>
      <w:r>
        <w:t>Fn</w:t>
      </w:r>
      <w:proofErr w:type="spellEnd"/>
      <w:r>
        <w:t xml:space="preserve">: </w:t>
      </w:r>
    </w:p>
    <w:p w:rsidR="00921A02" w:rsidRPr="00921A02" w:rsidRDefault="00921A02" w:rsidP="00921A02">
      <w:pPr>
        <w:tabs>
          <w:tab w:val="left" w:pos="1185"/>
        </w:tabs>
      </w:pPr>
    </w:p>
    <w:sectPr w:rsidR="00921A02" w:rsidRPr="0092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53F"/>
    <w:rsid w:val="00095C94"/>
    <w:rsid w:val="001A0D75"/>
    <w:rsid w:val="001D6B23"/>
    <w:rsid w:val="002A4B3F"/>
    <w:rsid w:val="005B5A35"/>
    <w:rsid w:val="006740A5"/>
    <w:rsid w:val="00676D23"/>
    <w:rsid w:val="006C6D8C"/>
    <w:rsid w:val="0080277F"/>
    <w:rsid w:val="008E2B7B"/>
    <w:rsid w:val="008F4159"/>
    <w:rsid w:val="00921A02"/>
    <w:rsid w:val="009F2FC1"/>
    <w:rsid w:val="00A0653F"/>
    <w:rsid w:val="00A473FF"/>
    <w:rsid w:val="00A87AC6"/>
    <w:rsid w:val="00B77047"/>
    <w:rsid w:val="00CB20DE"/>
    <w:rsid w:val="00CB3616"/>
    <w:rsid w:val="00DE7368"/>
    <w:rsid w:val="00E721A9"/>
    <w:rsid w:val="00F8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BF2D"/>
  <w15:chartTrackingRefBased/>
  <w15:docId w15:val="{727F0897-9D08-4F46-99E3-60A0B395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13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</dc:creator>
  <cp:keywords/>
  <dc:description/>
  <cp:lastModifiedBy>Luzanta, Triston A.</cp:lastModifiedBy>
  <cp:revision>8</cp:revision>
  <dcterms:created xsi:type="dcterms:W3CDTF">2020-02-19T20:57:00Z</dcterms:created>
  <dcterms:modified xsi:type="dcterms:W3CDTF">2020-02-19T21:02:00Z</dcterms:modified>
</cp:coreProperties>
</file>