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6AE1F" w14:textId="77777777" w:rsidR="00FC50D8" w:rsidRPr="00CD038B" w:rsidRDefault="00FC50D8" w:rsidP="00FC50D8">
      <w:pPr>
        <w:shd w:val="clear" w:color="auto" w:fill="FFFFFF"/>
        <w:spacing w:after="0" w:line="672" w:lineRule="atLeast"/>
        <w:jc w:val="center"/>
        <w:outlineLvl w:val="0"/>
        <w:rPr>
          <w:rFonts w:ascii="Arial" w:eastAsia="Times New Roman" w:hAnsi="Arial" w:cs="Arial"/>
          <w:b/>
          <w:kern w:val="36"/>
          <w:sz w:val="24"/>
          <w:szCs w:val="24"/>
          <w:lang w:val="en-GB" w:eastAsia="en-GB"/>
        </w:rPr>
      </w:pPr>
      <w:r w:rsidRPr="00CD038B">
        <w:rPr>
          <w:rFonts w:ascii="Arial" w:eastAsia="Times New Roman" w:hAnsi="Arial" w:cs="Arial"/>
          <w:b/>
          <w:kern w:val="36"/>
          <w:sz w:val="24"/>
          <w:szCs w:val="24"/>
          <w:lang w:val="en-GB" w:eastAsia="en-GB"/>
        </w:rPr>
        <w:t xml:space="preserve">Cidofovir Exposure Study - privacy notice for </w:t>
      </w:r>
      <w:r>
        <w:rPr>
          <w:rFonts w:ascii="Arial" w:eastAsia="Times New Roman" w:hAnsi="Arial" w:cs="Arial"/>
          <w:b/>
          <w:kern w:val="36"/>
          <w:sz w:val="24"/>
          <w:szCs w:val="24"/>
          <w:lang w:val="en-GB" w:eastAsia="en-GB"/>
        </w:rPr>
        <w:t>guardians</w:t>
      </w:r>
    </w:p>
    <w:p w14:paraId="3C72B4F4" w14:textId="77777777" w:rsidR="00FC50D8" w:rsidRPr="00CD038B" w:rsidRDefault="00FC50D8" w:rsidP="00FC50D8">
      <w:pPr>
        <w:shd w:val="clear" w:color="auto" w:fill="FFFFFF"/>
        <w:spacing w:after="180" w:line="240" w:lineRule="auto"/>
        <w:rPr>
          <w:rFonts w:ascii="Arial" w:eastAsia="Times New Roman" w:hAnsi="Arial" w:cs="Arial"/>
          <w:color w:val="333333"/>
          <w:lang w:val="en-GB" w:eastAsia="en-GB"/>
        </w:rPr>
      </w:pPr>
      <w:proofErr w:type="spellStart"/>
      <w:r w:rsidRPr="00CD038B">
        <w:rPr>
          <w:rFonts w:ascii="Arial" w:eastAsia="Times New Roman" w:hAnsi="Arial" w:cs="Arial"/>
          <w:color w:val="333333"/>
          <w:lang w:val="en-GB" w:eastAsia="en-GB"/>
        </w:rPr>
        <w:t>Tillomed</w:t>
      </w:r>
      <w:proofErr w:type="spellEnd"/>
      <w:r w:rsidRPr="00CD038B">
        <w:rPr>
          <w:rFonts w:ascii="Arial" w:eastAsia="Times New Roman" w:hAnsi="Arial" w:cs="Arial"/>
          <w:color w:val="333333"/>
          <w:lang w:val="en-GB" w:eastAsia="en-GB"/>
        </w:rPr>
        <w:t xml:space="preserve"> Laboratories Limited, on behalf of the </w:t>
      </w:r>
      <w:r>
        <w:rPr>
          <w:rFonts w:ascii="Arial" w:eastAsia="Times New Roman" w:hAnsi="Arial" w:cs="Arial"/>
          <w:color w:val="333333"/>
          <w:lang w:val="en-GB" w:eastAsia="en-GB"/>
        </w:rPr>
        <w:t>j</w:t>
      </w:r>
      <w:r w:rsidRPr="00CD038B">
        <w:rPr>
          <w:rFonts w:ascii="Arial" w:eastAsia="Times New Roman" w:hAnsi="Arial" w:cs="Arial"/>
          <w:color w:val="333333"/>
          <w:lang w:val="en-GB" w:eastAsia="en-GB"/>
        </w:rPr>
        <w:t xml:space="preserve">oint </w:t>
      </w:r>
      <w:r>
        <w:rPr>
          <w:rFonts w:ascii="Arial" w:eastAsia="Times New Roman" w:hAnsi="Arial" w:cs="Arial"/>
          <w:color w:val="333333"/>
          <w:lang w:val="en-GB" w:eastAsia="en-GB"/>
        </w:rPr>
        <w:t>d</w:t>
      </w:r>
      <w:r w:rsidRPr="00CD038B">
        <w:rPr>
          <w:rFonts w:ascii="Arial" w:eastAsia="Times New Roman" w:hAnsi="Arial" w:cs="Arial"/>
          <w:color w:val="333333"/>
          <w:lang w:val="en-GB" w:eastAsia="en-GB"/>
        </w:rPr>
        <w:t xml:space="preserve">ata </w:t>
      </w:r>
      <w:r>
        <w:rPr>
          <w:rFonts w:ascii="Arial" w:eastAsia="Times New Roman" w:hAnsi="Arial" w:cs="Arial"/>
          <w:color w:val="333333"/>
          <w:lang w:val="en-GB" w:eastAsia="en-GB"/>
        </w:rPr>
        <w:t>c</w:t>
      </w:r>
      <w:r w:rsidRPr="00CD038B">
        <w:rPr>
          <w:rFonts w:ascii="Arial" w:eastAsia="Times New Roman" w:hAnsi="Arial" w:cs="Arial"/>
          <w:color w:val="333333"/>
          <w:lang w:val="en-GB" w:eastAsia="en-GB"/>
        </w:rPr>
        <w:t xml:space="preserve">ontrollers, will collect and process personal data belonging to </w:t>
      </w:r>
      <w:r>
        <w:rPr>
          <w:rFonts w:ascii="Arial" w:eastAsia="Times New Roman" w:hAnsi="Arial" w:cs="Arial"/>
          <w:color w:val="333333"/>
          <w:lang w:val="en-GB" w:eastAsia="en-GB"/>
        </w:rPr>
        <w:t>guardians of patients treated with</w:t>
      </w:r>
      <w:r w:rsidRPr="00CD038B">
        <w:rPr>
          <w:rFonts w:ascii="Arial" w:eastAsia="Times New Roman" w:hAnsi="Arial" w:cs="Arial"/>
          <w:color w:val="333333"/>
          <w:lang w:val="en-GB" w:eastAsia="en-GB"/>
        </w:rPr>
        <w:t xml:space="preserve"> </w:t>
      </w:r>
      <w:proofErr w:type="spellStart"/>
      <w:r>
        <w:rPr>
          <w:rFonts w:ascii="Arial" w:eastAsia="Times New Roman" w:hAnsi="Arial" w:cs="Arial"/>
          <w:color w:val="333333"/>
          <w:lang w:val="en-GB" w:eastAsia="en-GB"/>
        </w:rPr>
        <w:t>Tillomed’s</w:t>
      </w:r>
      <w:proofErr w:type="spellEnd"/>
      <w:r w:rsidRPr="00CD038B">
        <w:rPr>
          <w:rFonts w:ascii="Arial" w:eastAsia="Times New Roman" w:hAnsi="Arial" w:cs="Arial"/>
          <w:color w:val="333333"/>
          <w:lang w:val="en-GB" w:eastAsia="en-GB"/>
        </w:rPr>
        <w:t xml:space="preserve"> Cidofovir 75mg/ml concentrate for sol</w:t>
      </w:r>
      <w:r>
        <w:rPr>
          <w:rFonts w:ascii="Arial" w:eastAsia="Times New Roman" w:hAnsi="Arial" w:cs="Arial"/>
          <w:color w:val="333333"/>
          <w:lang w:val="en-GB" w:eastAsia="en-GB"/>
        </w:rPr>
        <w:t xml:space="preserve">ution for intravenous infusion </w:t>
      </w:r>
      <w:r w:rsidRPr="00CD038B">
        <w:rPr>
          <w:rFonts w:ascii="Arial" w:eastAsia="Times New Roman" w:hAnsi="Arial" w:cs="Arial"/>
          <w:color w:val="333333"/>
          <w:lang w:val="en-GB" w:eastAsia="en-GB"/>
        </w:rPr>
        <w:t>who take part in the Cidofovir Exposure Study.</w:t>
      </w:r>
    </w:p>
    <w:p w14:paraId="1794B861" w14:textId="77777777" w:rsidR="00FC50D8" w:rsidRPr="00CD038B" w:rsidRDefault="00FC50D8" w:rsidP="00FC50D8">
      <w:pPr>
        <w:shd w:val="clear" w:color="auto" w:fill="FFFFFF"/>
        <w:spacing w:after="180" w:line="240" w:lineRule="auto"/>
        <w:rPr>
          <w:rFonts w:ascii="Arial" w:eastAsia="Times New Roman" w:hAnsi="Arial" w:cs="Arial"/>
          <w:color w:val="333333"/>
          <w:lang w:val="en-GB" w:eastAsia="en-GB"/>
        </w:rPr>
      </w:pPr>
      <w:r w:rsidRPr="00CD038B">
        <w:rPr>
          <w:rFonts w:ascii="Arial" w:eastAsia="Times New Roman" w:hAnsi="Arial" w:cs="Arial"/>
          <w:color w:val="333333"/>
          <w:lang w:val="en-GB" w:eastAsia="en-GB"/>
        </w:rPr>
        <w:t xml:space="preserve">The </w:t>
      </w:r>
      <w:r>
        <w:rPr>
          <w:rFonts w:ascii="Arial" w:eastAsia="Times New Roman" w:hAnsi="Arial" w:cs="Arial"/>
          <w:color w:val="333333"/>
          <w:lang w:val="en-GB" w:eastAsia="en-GB"/>
        </w:rPr>
        <w:t>j</w:t>
      </w:r>
      <w:r w:rsidRPr="00CD038B">
        <w:rPr>
          <w:rFonts w:ascii="Arial" w:eastAsia="Times New Roman" w:hAnsi="Arial" w:cs="Arial"/>
          <w:color w:val="333333"/>
          <w:lang w:val="en-GB" w:eastAsia="en-GB"/>
        </w:rPr>
        <w:t xml:space="preserve">oint </w:t>
      </w:r>
      <w:r>
        <w:rPr>
          <w:rFonts w:ascii="Arial" w:eastAsia="Times New Roman" w:hAnsi="Arial" w:cs="Arial"/>
          <w:color w:val="333333"/>
          <w:lang w:val="en-GB" w:eastAsia="en-GB"/>
        </w:rPr>
        <w:t>d</w:t>
      </w:r>
      <w:r w:rsidRPr="00CD038B">
        <w:rPr>
          <w:rFonts w:ascii="Arial" w:eastAsia="Times New Roman" w:hAnsi="Arial" w:cs="Arial"/>
          <w:color w:val="333333"/>
          <w:lang w:val="en-GB" w:eastAsia="en-GB"/>
        </w:rPr>
        <w:t xml:space="preserve">ata </w:t>
      </w:r>
      <w:r>
        <w:rPr>
          <w:rFonts w:ascii="Arial" w:eastAsia="Times New Roman" w:hAnsi="Arial" w:cs="Arial"/>
          <w:color w:val="333333"/>
          <w:lang w:val="en-GB" w:eastAsia="en-GB"/>
        </w:rPr>
        <w:t>c</w:t>
      </w:r>
      <w:r w:rsidRPr="00CD038B">
        <w:rPr>
          <w:rFonts w:ascii="Arial" w:eastAsia="Times New Roman" w:hAnsi="Arial" w:cs="Arial"/>
          <w:color w:val="333333"/>
          <w:lang w:val="en-GB" w:eastAsia="en-GB"/>
        </w:rPr>
        <w:t xml:space="preserve">ontrollers are </w:t>
      </w:r>
      <w:proofErr w:type="spellStart"/>
      <w:r w:rsidRPr="00CD038B">
        <w:rPr>
          <w:rFonts w:ascii="Arial" w:eastAsia="Times New Roman" w:hAnsi="Arial" w:cs="Arial"/>
          <w:color w:val="333333"/>
          <w:lang w:val="en-GB" w:eastAsia="en-GB"/>
        </w:rPr>
        <w:t>Tillomed</w:t>
      </w:r>
      <w:proofErr w:type="spellEnd"/>
      <w:r w:rsidRPr="00CD038B">
        <w:rPr>
          <w:rFonts w:ascii="Arial" w:eastAsia="Times New Roman" w:hAnsi="Arial" w:cs="Arial"/>
          <w:color w:val="333333"/>
          <w:lang w:val="en-GB" w:eastAsia="en-GB"/>
        </w:rPr>
        <w:t xml:space="preserve"> Laboratories Limited, </w:t>
      </w:r>
      <w:proofErr w:type="spellStart"/>
      <w:r w:rsidRPr="00CD038B">
        <w:rPr>
          <w:rFonts w:ascii="Arial" w:eastAsia="Times New Roman" w:hAnsi="Arial" w:cs="Arial"/>
          <w:color w:val="333333"/>
          <w:lang w:val="en-GB" w:eastAsia="en-GB"/>
        </w:rPr>
        <w:t>Tillomed</w:t>
      </w:r>
      <w:proofErr w:type="spellEnd"/>
      <w:r w:rsidRPr="00CD038B">
        <w:rPr>
          <w:rFonts w:ascii="Arial" w:eastAsia="Times New Roman" w:hAnsi="Arial" w:cs="Arial"/>
          <w:color w:val="333333"/>
          <w:lang w:val="en-GB" w:eastAsia="en-GB"/>
        </w:rPr>
        <w:t xml:space="preserve"> Pharma GmbH and </w:t>
      </w:r>
      <w:proofErr w:type="spellStart"/>
      <w:r w:rsidRPr="00CD038B">
        <w:rPr>
          <w:rFonts w:ascii="Arial" w:eastAsia="Times New Roman" w:hAnsi="Arial" w:cs="Arial"/>
          <w:color w:val="333333"/>
          <w:lang w:val="en-GB" w:eastAsia="en-GB"/>
        </w:rPr>
        <w:t>Laboratorios</w:t>
      </w:r>
      <w:proofErr w:type="spellEnd"/>
      <w:r w:rsidRPr="00CD038B">
        <w:rPr>
          <w:rFonts w:ascii="Arial" w:eastAsia="Times New Roman" w:hAnsi="Arial" w:cs="Arial"/>
          <w:color w:val="333333"/>
          <w:lang w:val="en-GB" w:eastAsia="en-GB"/>
        </w:rPr>
        <w:t xml:space="preserve"> </w:t>
      </w:r>
      <w:proofErr w:type="spellStart"/>
      <w:r w:rsidRPr="00CD038B">
        <w:rPr>
          <w:rFonts w:ascii="Arial" w:eastAsia="Times New Roman" w:hAnsi="Arial" w:cs="Arial"/>
          <w:color w:val="333333"/>
          <w:lang w:val="en-GB" w:eastAsia="en-GB"/>
        </w:rPr>
        <w:t>Tillomed</w:t>
      </w:r>
      <w:proofErr w:type="spellEnd"/>
      <w:r w:rsidRPr="00CD038B">
        <w:rPr>
          <w:rFonts w:ascii="Arial" w:eastAsia="Times New Roman" w:hAnsi="Arial" w:cs="Arial"/>
          <w:color w:val="333333"/>
          <w:lang w:val="en-GB" w:eastAsia="en-GB"/>
        </w:rPr>
        <w:t xml:space="preserve"> Spain SLU.</w:t>
      </w:r>
    </w:p>
    <w:p w14:paraId="3F721C82" w14:textId="77777777" w:rsidR="00FC50D8" w:rsidRPr="00CD038B" w:rsidRDefault="00FC50D8" w:rsidP="00FC50D8">
      <w:pPr>
        <w:shd w:val="clear" w:color="auto" w:fill="FFFFFF"/>
        <w:spacing w:after="180" w:line="240" w:lineRule="auto"/>
        <w:rPr>
          <w:rFonts w:ascii="Arial" w:eastAsia="Times New Roman" w:hAnsi="Arial" w:cs="Arial"/>
          <w:color w:val="333333"/>
          <w:lang w:val="en-GB" w:eastAsia="en-GB"/>
        </w:rPr>
      </w:pPr>
      <w:r w:rsidRPr="00CD038B">
        <w:rPr>
          <w:rFonts w:ascii="Arial" w:eastAsia="Times New Roman" w:hAnsi="Arial" w:cs="Arial"/>
          <w:color w:val="333333"/>
          <w:lang w:val="en-GB" w:eastAsia="en-GB"/>
        </w:rPr>
        <w:t xml:space="preserve">In this privacy notice </w:t>
      </w:r>
      <w:proofErr w:type="spellStart"/>
      <w:r w:rsidRPr="00CD038B">
        <w:rPr>
          <w:rFonts w:ascii="Arial" w:eastAsia="Times New Roman" w:hAnsi="Arial" w:cs="Arial"/>
          <w:color w:val="333333"/>
          <w:lang w:val="en-GB" w:eastAsia="en-GB"/>
        </w:rPr>
        <w:t>Tillomed</w:t>
      </w:r>
      <w:proofErr w:type="spellEnd"/>
      <w:r w:rsidRPr="00CD038B">
        <w:rPr>
          <w:rFonts w:ascii="Arial" w:eastAsia="Times New Roman" w:hAnsi="Arial" w:cs="Arial"/>
          <w:color w:val="333333"/>
          <w:lang w:val="en-GB" w:eastAsia="en-GB"/>
        </w:rPr>
        <w:t xml:space="preserve"> Laboratories Limited is referred to as ‘</w:t>
      </w:r>
      <w:r w:rsidRPr="00CD038B">
        <w:rPr>
          <w:rFonts w:ascii="Arial" w:eastAsia="Times New Roman" w:hAnsi="Arial" w:cs="Arial"/>
          <w:b/>
          <w:color w:val="333333"/>
          <w:lang w:val="en-GB" w:eastAsia="en-GB"/>
        </w:rPr>
        <w:t>organisation</w:t>
      </w:r>
      <w:r w:rsidRPr="00CD038B">
        <w:rPr>
          <w:rFonts w:ascii="Arial" w:eastAsia="Times New Roman" w:hAnsi="Arial" w:cs="Arial"/>
          <w:color w:val="333333"/>
          <w:lang w:val="en-GB" w:eastAsia="en-GB"/>
        </w:rPr>
        <w:t>’.</w:t>
      </w:r>
    </w:p>
    <w:p w14:paraId="17BC74B5" w14:textId="77777777" w:rsidR="00FC50D8" w:rsidRPr="00CD038B" w:rsidRDefault="00FC50D8" w:rsidP="00FC50D8">
      <w:pPr>
        <w:shd w:val="clear" w:color="auto" w:fill="FFFFFF"/>
        <w:spacing w:after="180" w:line="240" w:lineRule="auto"/>
        <w:rPr>
          <w:rFonts w:ascii="Arial" w:eastAsia="Times New Roman" w:hAnsi="Arial" w:cs="Arial"/>
          <w:color w:val="333333"/>
          <w:lang w:val="en-GB" w:eastAsia="en-GB"/>
        </w:rPr>
      </w:pPr>
      <w:r w:rsidRPr="00CD038B">
        <w:rPr>
          <w:rFonts w:ascii="Arial" w:eastAsia="Times New Roman" w:hAnsi="Arial" w:cs="Arial"/>
          <w:color w:val="333333"/>
          <w:lang w:val="en-GB" w:eastAsia="en-GB"/>
        </w:rPr>
        <w:t>The organisation is committed to being transparent about how it collects and uses data and to meeting its data protection obligations.</w:t>
      </w:r>
    </w:p>
    <w:p w14:paraId="33D5F030" w14:textId="77777777" w:rsidR="00FC50D8" w:rsidRPr="00CD038B" w:rsidRDefault="00FC50D8" w:rsidP="00FC50D8">
      <w:pPr>
        <w:shd w:val="clear" w:color="auto" w:fill="FFFFFF"/>
        <w:spacing w:after="180" w:line="240" w:lineRule="auto"/>
        <w:rPr>
          <w:rFonts w:ascii="Arial" w:eastAsia="Times New Roman" w:hAnsi="Arial" w:cs="Arial"/>
          <w:color w:val="333333"/>
          <w:lang w:val="en-GB" w:eastAsia="en-GB"/>
        </w:rPr>
      </w:pPr>
      <w:r>
        <w:rPr>
          <w:rFonts w:ascii="Arial" w:eastAsia="Times New Roman" w:hAnsi="Arial" w:cs="Arial"/>
          <w:color w:val="333333"/>
          <w:lang w:val="en-GB" w:eastAsia="en-GB"/>
        </w:rPr>
        <w:t>Below</w:t>
      </w:r>
      <w:r w:rsidRPr="00CD038B">
        <w:rPr>
          <w:rFonts w:ascii="Arial" w:eastAsia="Times New Roman" w:hAnsi="Arial" w:cs="Arial"/>
          <w:color w:val="333333"/>
          <w:lang w:val="en-GB" w:eastAsia="en-GB"/>
        </w:rPr>
        <w:t xml:space="preserve"> is a table which explains:</w:t>
      </w:r>
    </w:p>
    <w:p w14:paraId="316C3043" w14:textId="77777777" w:rsidR="00FC50D8" w:rsidRPr="00CD038B" w:rsidRDefault="00FC50D8" w:rsidP="00FC50D8">
      <w:pPr>
        <w:numPr>
          <w:ilvl w:val="0"/>
          <w:numId w:val="2"/>
        </w:numPr>
        <w:shd w:val="clear" w:color="auto" w:fill="FFFFFF"/>
        <w:spacing w:after="180" w:line="240" w:lineRule="auto"/>
        <w:ind w:left="284" w:hanging="284"/>
        <w:contextualSpacing/>
        <w:rPr>
          <w:rFonts w:ascii="Arial" w:eastAsia="Times New Roman" w:hAnsi="Arial" w:cs="Arial"/>
          <w:color w:val="333333"/>
          <w:lang w:val="en-GB" w:eastAsia="en-GB"/>
        </w:rPr>
      </w:pPr>
      <w:r w:rsidRPr="00CD038B">
        <w:rPr>
          <w:rFonts w:ascii="Arial" w:eastAsia="Times New Roman" w:hAnsi="Arial" w:cs="Arial"/>
          <w:color w:val="333333"/>
          <w:lang w:val="en-GB" w:eastAsia="en-GB"/>
        </w:rPr>
        <w:t>what information the organisation collects</w:t>
      </w:r>
    </w:p>
    <w:p w14:paraId="1E84577A" w14:textId="77777777" w:rsidR="00FC50D8" w:rsidRPr="00CD038B" w:rsidRDefault="00FC50D8" w:rsidP="00FC50D8">
      <w:pPr>
        <w:numPr>
          <w:ilvl w:val="0"/>
          <w:numId w:val="2"/>
        </w:numPr>
        <w:shd w:val="clear" w:color="auto" w:fill="FFFFFF"/>
        <w:spacing w:after="180" w:line="240" w:lineRule="auto"/>
        <w:ind w:left="284" w:hanging="284"/>
        <w:contextualSpacing/>
        <w:rPr>
          <w:rFonts w:ascii="Arial" w:eastAsia="Times New Roman" w:hAnsi="Arial" w:cs="Arial"/>
          <w:color w:val="333333"/>
          <w:lang w:val="en-GB" w:eastAsia="en-GB"/>
        </w:rPr>
      </w:pPr>
      <w:r w:rsidRPr="00CD038B">
        <w:rPr>
          <w:rFonts w:ascii="Arial" w:eastAsia="Times New Roman" w:hAnsi="Arial" w:cs="Arial"/>
          <w:color w:val="333333"/>
          <w:lang w:val="en-GB" w:eastAsia="en-GB"/>
        </w:rPr>
        <w:t>where the information comes from</w:t>
      </w:r>
    </w:p>
    <w:p w14:paraId="561CB4B1" w14:textId="77777777" w:rsidR="00FC50D8" w:rsidRPr="00CD038B" w:rsidRDefault="00FC50D8" w:rsidP="00FC50D8">
      <w:pPr>
        <w:numPr>
          <w:ilvl w:val="0"/>
          <w:numId w:val="2"/>
        </w:numPr>
        <w:shd w:val="clear" w:color="auto" w:fill="FFFFFF"/>
        <w:spacing w:after="180" w:line="240" w:lineRule="auto"/>
        <w:ind w:left="284" w:hanging="284"/>
        <w:contextualSpacing/>
        <w:rPr>
          <w:rFonts w:ascii="Arial" w:eastAsia="Times New Roman" w:hAnsi="Arial" w:cs="Arial"/>
          <w:color w:val="333333"/>
          <w:lang w:val="en-GB" w:eastAsia="en-GB"/>
        </w:rPr>
      </w:pPr>
      <w:r w:rsidRPr="00CD038B">
        <w:rPr>
          <w:rFonts w:ascii="Arial" w:eastAsia="Times New Roman" w:hAnsi="Arial" w:cs="Arial"/>
          <w:color w:val="333333"/>
          <w:lang w:val="en-GB" w:eastAsia="en-GB"/>
        </w:rPr>
        <w:t>why your data is processed, where we store it and for how long we retain it</w:t>
      </w:r>
    </w:p>
    <w:p w14:paraId="264CCE2F" w14:textId="77777777" w:rsidR="00FC50D8" w:rsidRDefault="00FC50D8" w:rsidP="00FC50D8">
      <w:pPr>
        <w:numPr>
          <w:ilvl w:val="0"/>
          <w:numId w:val="2"/>
        </w:numPr>
        <w:shd w:val="clear" w:color="auto" w:fill="FFFFFF"/>
        <w:spacing w:after="180" w:line="240" w:lineRule="auto"/>
        <w:ind w:left="284" w:hanging="284"/>
        <w:contextualSpacing/>
        <w:rPr>
          <w:rFonts w:ascii="Arial" w:eastAsia="Times New Roman" w:hAnsi="Arial" w:cs="Arial"/>
          <w:color w:val="333333"/>
          <w:lang w:val="en-GB" w:eastAsia="en-GB"/>
        </w:rPr>
      </w:pPr>
      <w:r w:rsidRPr="00CD038B">
        <w:rPr>
          <w:rFonts w:ascii="Arial" w:eastAsia="Times New Roman" w:hAnsi="Arial" w:cs="Arial"/>
          <w:color w:val="333333"/>
          <w:lang w:val="en-GB" w:eastAsia="en-GB"/>
        </w:rPr>
        <w:t xml:space="preserve">who your data will be disclosed </w:t>
      </w:r>
      <w:proofErr w:type="gramStart"/>
      <w:r w:rsidRPr="00CD038B">
        <w:rPr>
          <w:rFonts w:ascii="Arial" w:eastAsia="Times New Roman" w:hAnsi="Arial" w:cs="Arial"/>
          <w:color w:val="333333"/>
          <w:lang w:val="en-GB" w:eastAsia="en-GB"/>
        </w:rPr>
        <w:t>to</w:t>
      </w:r>
      <w:proofErr w:type="gramEnd"/>
    </w:p>
    <w:p w14:paraId="6B8E996B" w14:textId="77777777" w:rsidR="00FC50D8" w:rsidRPr="00CD038B" w:rsidRDefault="00FC50D8" w:rsidP="00FC50D8">
      <w:pPr>
        <w:shd w:val="clear" w:color="auto" w:fill="FFFFFF"/>
        <w:spacing w:after="180" w:line="240" w:lineRule="auto"/>
        <w:ind w:left="284"/>
        <w:contextualSpacing/>
        <w:rPr>
          <w:rFonts w:ascii="Arial" w:eastAsia="Times New Roman" w:hAnsi="Arial" w:cs="Arial"/>
          <w:color w:val="333333"/>
          <w:lang w:val="en-GB" w:eastAsia="en-GB"/>
        </w:rPr>
      </w:pPr>
    </w:p>
    <w:p w14:paraId="58A08E7D" w14:textId="77777777" w:rsidR="00FC50D8" w:rsidRPr="00CD038B" w:rsidRDefault="00FC50D8" w:rsidP="00FC50D8">
      <w:pPr>
        <w:shd w:val="clear" w:color="auto" w:fill="FFFFFF"/>
        <w:spacing w:after="0" w:line="240" w:lineRule="auto"/>
        <w:rPr>
          <w:rFonts w:ascii="Arial" w:eastAsia="Times New Roman" w:hAnsi="Arial" w:cs="Arial"/>
          <w:color w:val="333333"/>
          <w:lang w:val="en-GB" w:eastAsia="en-GB"/>
        </w:rPr>
      </w:pPr>
      <w:r w:rsidRPr="00CD038B">
        <w:rPr>
          <w:rFonts w:ascii="Arial" w:eastAsia="Times New Roman" w:hAnsi="Arial" w:cs="Arial"/>
          <w:b/>
          <w:bCs/>
          <w:color w:val="333333"/>
          <w:lang w:val="en-GB" w:eastAsia="en-GB"/>
        </w:rPr>
        <w:t>How does the organisation protect data?</w:t>
      </w:r>
    </w:p>
    <w:p w14:paraId="22872B8D" w14:textId="77777777" w:rsidR="00FC50D8" w:rsidRPr="00CD038B" w:rsidRDefault="00FC50D8" w:rsidP="00FC50D8">
      <w:pPr>
        <w:shd w:val="clear" w:color="auto" w:fill="FFFFFF"/>
        <w:spacing w:after="180" w:line="240" w:lineRule="auto"/>
        <w:rPr>
          <w:rFonts w:ascii="Arial" w:eastAsia="Times New Roman" w:hAnsi="Arial" w:cs="Arial"/>
          <w:color w:val="333333"/>
          <w:lang w:val="en-GB" w:eastAsia="en-GB"/>
        </w:rPr>
      </w:pPr>
      <w:r w:rsidRPr="00CD038B">
        <w:rPr>
          <w:rFonts w:ascii="Arial" w:eastAsia="Times New Roman" w:hAnsi="Arial" w:cs="Arial"/>
          <w:color w:val="333333"/>
          <w:lang w:val="en-GB" w:eastAsia="en-GB"/>
        </w:rPr>
        <w:t xml:space="preserve">The organisation takes the security of your data seriously. The organisation has internal policies and controls in place to try to ensure that your data is not lost, accidentally destroyed, misused or disclosed, and is not accessed except by its employees in the performance of their duties. </w:t>
      </w:r>
    </w:p>
    <w:p w14:paraId="369E8768" w14:textId="77777777" w:rsidR="00FC50D8" w:rsidRPr="00CD038B" w:rsidRDefault="00FC50D8" w:rsidP="00FC50D8">
      <w:pPr>
        <w:shd w:val="clear" w:color="auto" w:fill="FFFFFF"/>
        <w:spacing w:after="180" w:line="240" w:lineRule="auto"/>
        <w:rPr>
          <w:rFonts w:ascii="Arial" w:eastAsia="Times New Roman" w:hAnsi="Arial" w:cs="Arial"/>
          <w:color w:val="333333"/>
          <w:lang w:val="en-GB" w:eastAsia="en-GB"/>
        </w:rPr>
      </w:pPr>
      <w:r w:rsidRPr="00CD038B">
        <w:rPr>
          <w:rFonts w:ascii="Arial" w:eastAsia="Times New Roman" w:hAnsi="Arial" w:cs="Arial"/>
          <w:color w:val="333333"/>
          <w:lang w:val="en-GB" w:eastAsia="en-GB"/>
        </w:rPr>
        <w:t>Where the organisation engages third parties to process personal data on its behalf, they do so on the basis of written instructions, are under a duty of confidentiality and are obliged to implement appropriate technical and organisational measures to ensure the security of data.</w:t>
      </w:r>
    </w:p>
    <w:p w14:paraId="7ABD69AF" w14:textId="77777777" w:rsidR="00FC50D8" w:rsidRPr="00CD038B" w:rsidRDefault="00FC50D8" w:rsidP="00FC50D8">
      <w:pPr>
        <w:shd w:val="clear" w:color="auto" w:fill="FFFFFF"/>
        <w:spacing w:after="0" w:line="240" w:lineRule="auto"/>
        <w:rPr>
          <w:rFonts w:ascii="Arial" w:eastAsia="Times New Roman" w:hAnsi="Arial" w:cs="Arial"/>
          <w:color w:val="333333"/>
          <w:lang w:val="en-GB" w:eastAsia="en-GB"/>
        </w:rPr>
      </w:pPr>
      <w:r w:rsidRPr="00CD038B">
        <w:rPr>
          <w:rFonts w:ascii="Arial" w:eastAsia="Times New Roman" w:hAnsi="Arial" w:cs="Arial"/>
          <w:b/>
          <w:bCs/>
          <w:color w:val="333333"/>
          <w:lang w:val="en-GB" w:eastAsia="en-GB"/>
        </w:rPr>
        <w:t>Your rights</w:t>
      </w:r>
    </w:p>
    <w:p w14:paraId="4F8C54A9" w14:textId="77777777" w:rsidR="00FC50D8" w:rsidRPr="00CD038B" w:rsidRDefault="00FC50D8" w:rsidP="00FC50D8">
      <w:pPr>
        <w:shd w:val="clear" w:color="auto" w:fill="FFFFFF"/>
        <w:spacing w:after="180" w:line="240" w:lineRule="auto"/>
        <w:rPr>
          <w:rFonts w:ascii="Arial" w:eastAsia="Times New Roman" w:hAnsi="Arial" w:cs="Arial"/>
          <w:color w:val="333333"/>
          <w:lang w:val="en-GB" w:eastAsia="en-GB"/>
        </w:rPr>
      </w:pPr>
      <w:r w:rsidRPr="00CD038B">
        <w:rPr>
          <w:rFonts w:ascii="Arial" w:eastAsia="Times New Roman" w:hAnsi="Arial" w:cs="Arial"/>
          <w:color w:val="333333"/>
          <w:lang w:val="en-GB" w:eastAsia="en-GB"/>
        </w:rPr>
        <w:t>As a data subject, you have a number of rights. You can:</w:t>
      </w:r>
    </w:p>
    <w:p w14:paraId="5598BB6C" w14:textId="77777777" w:rsidR="00FC50D8" w:rsidRPr="00CD038B" w:rsidRDefault="00FC50D8" w:rsidP="00FC50D8">
      <w:pPr>
        <w:numPr>
          <w:ilvl w:val="0"/>
          <w:numId w:val="1"/>
        </w:numPr>
        <w:shd w:val="clear" w:color="auto" w:fill="FFFFFF"/>
        <w:spacing w:before="100" w:beforeAutospacing="1" w:after="180" w:line="240" w:lineRule="auto"/>
        <w:ind w:left="284" w:hanging="284"/>
        <w:rPr>
          <w:rFonts w:ascii="Arial" w:eastAsia="Times New Roman" w:hAnsi="Arial" w:cs="Arial"/>
          <w:color w:val="333333"/>
          <w:lang w:val="en-GB" w:eastAsia="en-GB"/>
        </w:rPr>
      </w:pPr>
      <w:r w:rsidRPr="00CD038B">
        <w:rPr>
          <w:rFonts w:ascii="Arial" w:eastAsia="Times New Roman" w:hAnsi="Arial" w:cs="Arial"/>
          <w:color w:val="333333"/>
          <w:lang w:val="en-GB" w:eastAsia="en-GB"/>
        </w:rPr>
        <w:t>access and obtain a copy of your data on request; require the organisation to change incorrect or incomplete data;</w:t>
      </w:r>
    </w:p>
    <w:p w14:paraId="5F5B0AE1" w14:textId="77777777" w:rsidR="00FC50D8" w:rsidRPr="00CD038B" w:rsidRDefault="00FC50D8" w:rsidP="00FC50D8">
      <w:pPr>
        <w:numPr>
          <w:ilvl w:val="0"/>
          <w:numId w:val="1"/>
        </w:numPr>
        <w:shd w:val="clear" w:color="auto" w:fill="FFFFFF"/>
        <w:spacing w:before="100" w:beforeAutospacing="1" w:after="180" w:line="240" w:lineRule="auto"/>
        <w:ind w:left="284" w:hanging="284"/>
        <w:rPr>
          <w:rFonts w:ascii="Arial" w:eastAsia="Times New Roman" w:hAnsi="Arial" w:cs="Arial"/>
          <w:color w:val="333333"/>
          <w:lang w:val="en-GB" w:eastAsia="en-GB"/>
        </w:rPr>
      </w:pPr>
      <w:r w:rsidRPr="00CD038B">
        <w:rPr>
          <w:rFonts w:ascii="Arial" w:eastAsia="Times New Roman" w:hAnsi="Arial" w:cs="Arial"/>
          <w:color w:val="333333"/>
          <w:lang w:val="en-GB" w:eastAsia="en-GB"/>
        </w:rPr>
        <w:t>require the organisation to delete or stop processing your data, for example where the data is no longer necessary for the purposes of processing; and</w:t>
      </w:r>
    </w:p>
    <w:p w14:paraId="42BD421D" w14:textId="77777777" w:rsidR="00FC50D8" w:rsidRPr="00CD038B" w:rsidRDefault="00FC50D8" w:rsidP="00FC50D8">
      <w:pPr>
        <w:numPr>
          <w:ilvl w:val="0"/>
          <w:numId w:val="1"/>
        </w:numPr>
        <w:shd w:val="clear" w:color="auto" w:fill="FFFFFF"/>
        <w:spacing w:before="100" w:beforeAutospacing="1" w:after="180" w:line="240" w:lineRule="auto"/>
        <w:ind w:left="284" w:hanging="284"/>
        <w:rPr>
          <w:rFonts w:ascii="Arial" w:eastAsia="Times New Roman" w:hAnsi="Arial" w:cs="Arial"/>
          <w:color w:val="333333"/>
          <w:lang w:val="en-GB" w:eastAsia="en-GB"/>
        </w:rPr>
      </w:pPr>
      <w:r w:rsidRPr="00CD038B">
        <w:rPr>
          <w:rFonts w:ascii="Arial" w:eastAsia="Times New Roman" w:hAnsi="Arial" w:cs="Arial"/>
          <w:color w:val="333333"/>
          <w:lang w:val="en-GB" w:eastAsia="en-GB"/>
        </w:rPr>
        <w:t>object to the processing of your data where the organisation is relying on its legitimate interests as the legal ground for processing.</w:t>
      </w:r>
    </w:p>
    <w:p w14:paraId="719E2D58" w14:textId="77777777" w:rsidR="00FC50D8" w:rsidRPr="00CD038B" w:rsidRDefault="00FC50D8" w:rsidP="00FC50D8">
      <w:pPr>
        <w:shd w:val="clear" w:color="auto" w:fill="FFFFFF"/>
        <w:spacing w:after="180" w:line="240" w:lineRule="auto"/>
        <w:rPr>
          <w:rFonts w:ascii="Arial" w:eastAsia="Times New Roman" w:hAnsi="Arial" w:cs="Arial"/>
          <w:color w:val="333333"/>
          <w:lang w:val="en-GB" w:eastAsia="en-GB"/>
        </w:rPr>
      </w:pPr>
      <w:r w:rsidRPr="00CD038B">
        <w:rPr>
          <w:rFonts w:ascii="Arial" w:eastAsia="Times New Roman" w:hAnsi="Arial" w:cs="Arial"/>
          <w:color w:val="333333"/>
          <w:lang w:val="en-GB" w:eastAsia="en-GB"/>
        </w:rPr>
        <w:t xml:space="preserve">If you would like to exercise any of these rights, please contact the Company Secretary by emailing </w:t>
      </w:r>
      <w:hyperlink r:id="rId7" w:history="1">
        <w:r w:rsidRPr="00CD038B">
          <w:rPr>
            <w:rFonts w:ascii="Arial" w:eastAsia="Times New Roman" w:hAnsi="Arial" w:cs="Arial"/>
            <w:color w:val="0563C1" w:themeColor="hyperlink"/>
            <w:u w:val="single"/>
            <w:lang w:val="en-GB" w:eastAsia="en-GB"/>
          </w:rPr>
          <w:t>companysecretary@tillomed.co.uk</w:t>
        </w:r>
      </w:hyperlink>
      <w:r w:rsidRPr="00CD038B">
        <w:rPr>
          <w:rFonts w:ascii="Arial" w:eastAsia="Times New Roman" w:hAnsi="Arial" w:cs="Arial"/>
          <w:color w:val="333333"/>
          <w:lang w:val="en-GB" w:eastAsia="en-GB"/>
        </w:rPr>
        <w:t>. If you believe that the organisation has not complied with your data protection rights, you can complain to the Information Commissioner.</w:t>
      </w:r>
    </w:p>
    <w:p w14:paraId="5C3E8EDD" w14:textId="77777777" w:rsidR="00FC50D8" w:rsidRPr="00CD038B" w:rsidRDefault="00FC50D8" w:rsidP="00FC50D8">
      <w:pPr>
        <w:shd w:val="clear" w:color="auto" w:fill="FFFFFF"/>
        <w:spacing w:after="0" w:line="240" w:lineRule="auto"/>
        <w:rPr>
          <w:rFonts w:ascii="Arial" w:eastAsia="Times New Roman" w:hAnsi="Arial" w:cs="Arial"/>
          <w:color w:val="333333"/>
          <w:lang w:val="en-GB" w:eastAsia="en-GB"/>
        </w:rPr>
      </w:pPr>
      <w:r w:rsidRPr="00CD038B">
        <w:rPr>
          <w:rFonts w:ascii="Arial" w:eastAsia="Times New Roman" w:hAnsi="Arial" w:cs="Arial"/>
          <w:b/>
          <w:bCs/>
          <w:color w:val="333333"/>
          <w:lang w:val="en-GB" w:eastAsia="en-GB"/>
        </w:rPr>
        <w:lastRenderedPageBreak/>
        <w:t>What if you do not provide personal data?</w:t>
      </w:r>
    </w:p>
    <w:p w14:paraId="66FBA4E6" w14:textId="77777777" w:rsidR="00FC50D8" w:rsidRPr="00CD038B" w:rsidRDefault="00FC50D8" w:rsidP="00FC50D8">
      <w:pPr>
        <w:shd w:val="clear" w:color="auto" w:fill="FFFFFF"/>
        <w:spacing w:after="0" w:line="240" w:lineRule="auto"/>
        <w:rPr>
          <w:rFonts w:ascii="Arial" w:eastAsia="Times New Roman" w:hAnsi="Arial" w:cs="Arial"/>
          <w:bCs/>
          <w:color w:val="333333"/>
          <w:lang w:val="en-GB" w:eastAsia="en-GB"/>
        </w:rPr>
      </w:pPr>
      <w:r w:rsidRPr="00CD038B">
        <w:rPr>
          <w:rFonts w:ascii="Arial" w:eastAsia="Times New Roman" w:hAnsi="Arial" w:cs="Arial"/>
          <w:bCs/>
          <w:color w:val="333333"/>
          <w:lang w:val="en-GB" w:eastAsia="en-GB"/>
        </w:rPr>
        <w:t xml:space="preserve">If you do not provide your personal data, </w:t>
      </w:r>
      <w:r>
        <w:rPr>
          <w:rFonts w:ascii="Arial" w:eastAsia="Times New Roman" w:hAnsi="Arial" w:cs="Arial"/>
          <w:bCs/>
          <w:color w:val="333333"/>
          <w:lang w:val="en-GB" w:eastAsia="en-GB"/>
        </w:rPr>
        <w:t xml:space="preserve">the </w:t>
      </w:r>
      <w:r w:rsidRPr="00CD038B">
        <w:rPr>
          <w:rFonts w:ascii="Arial" w:eastAsia="Times New Roman" w:hAnsi="Arial" w:cs="Arial"/>
          <w:bCs/>
          <w:color w:val="333333"/>
          <w:lang w:val="en-GB" w:eastAsia="en-GB"/>
        </w:rPr>
        <w:t>patient</w:t>
      </w:r>
      <w:r>
        <w:rPr>
          <w:rFonts w:ascii="Arial" w:eastAsia="Times New Roman" w:hAnsi="Arial" w:cs="Arial"/>
          <w:bCs/>
          <w:color w:val="333333"/>
          <w:lang w:val="en-GB" w:eastAsia="en-GB"/>
        </w:rPr>
        <w:t xml:space="preserve"> for whom you are responsible</w:t>
      </w:r>
      <w:r w:rsidRPr="00CD038B">
        <w:rPr>
          <w:rFonts w:ascii="Arial" w:eastAsia="Times New Roman" w:hAnsi="Arial" w:cs="Arial"/>
          <w:bCs/>
          <w:color w:val="333333"/>
          <w:lang w:val="en-GB" w:eastAsia="en-GB"/>
        </w:rPr>
        <w:t xml:space="preserve"> will not be able to take part in the Cidofovir Exposure Study.</w:t>
      </w:r>
    </w:p>
    <w:p w14:paraId="5EF20BFB" w14:textId="77777777" w:rsidR="00FC50D8" w:rsidRPr="00CD038B" w:rsidRDefault="00FC50D8" w:rsidP="00FC50D8">
      <w:pPr>
        <w:shd w:val="clear" w:color="auto" w:fill="FFFFFF"/>
        <w:spacing w:after="0" w:line="240" w:lineRule="auto"/>
        <w:rPr>
          <w:rFonts w:ascii="Arial" w:eastAsia="Times New Roman" w:hAnsi="Arial" w:cs="Arial"/>
          <w:b/>
          <w:bCs/>
          <w:color w:val="333333"/>
          <w:lang w:val="en-GB" w:eastAsia="en-GB"/>
        </w:rPr>
      </w:pPr>
    </w:p>
    <w:p w14:paraId="06C282C4" w14:textId="77777777" w:rsidR="00FC50D8" w:rsidRPr="00CD038B" w:rsidRDefault="00FC50D8" w:rsidP="00FC50D8">
      <w:pPr>
        <w:shd w:val="clear" w:color="auto" w:fill="FFFFFF"/>
        <w:spacing w:after="0" w:line="240" w:lineRule="auto"/>
        <w:rPr>
          <w:rFonts w:ascii="Arial" w:eastAsia="Times New Roman" w:hAnsi="Arial" w:cs="Arial"/>
          <w:color w:val="333333"/>
          <w:lang w:val="en-GB" w:eastAsia="en-GB"/>
        </w:rPr>
      </w:pPr>
      <w:r w:rsidRPr="00CD038B">
        <w:rPr>
          <w:rFonts w:ascii="Arial" w:eastAsia="Times New Roman" w:hAnsi="Arial" w:cs="Arial"/>
          <w:b/>
          <w:bCs/>
          <w:color w:val="333333"/>
          <w:lang w:val="en-GB" w:eastAsia="en-GB"/>
        </w:rPr>
        <w:t>Automated decision-making</w:t>
      </w:r>
    </w:p>
    <w:p w14:paraId="6F1F3FDD" w14:textId="77777777" w:rsidR="00FC50D8" w:rsidRPr="00CD038B" w:rsidRDefault="00FC50D8" w:rsidP="00FC50D8">
      <w:pPr>
        <w:shd w:val="clear" w:color="auto" w:fill="FFFFFF"/>
        <w:spacing w:after="180" w:line="240" w:lineRule="auto"/>
        <w:rPr>
          <w:lang w:val="en-GB"/>
        </w:rPr>
      </w:pPr>
      <w:r w:rsidRPr="00CD038B">
        <w:rPr>
          <w:rFonts w:ascii="Arial" w:eastAsia="Times New Roman" w:hAnsi="Arial" w:cs="Arial"/>
          <w:color w:val="333333"/>
          <w:lang w:val="en-GB" w:eastAsia="en-GB"/>
        </w:rPr>
        <w:t>No decisions are based solely on automated data processing</w:t>
      </w:r>
    </w:p>
    <w:p w14:paraId="1CE1F700" w14:textId="77777777" w:rsidR="00FC50D8" w:rsidRDefault="00FC50D8" w:rsidP="00FC50D8">
      <w:pPr>
        <w:ind w:hanging="1134"/>
        <w:rPr>
          <w:rFonts w:ascii="Arial" w:eastAsia="Times New Roman" w:hAnsi="Arial" w:cs="Arial"/>
          <w:b/>
          <w:color w:val="333333"/>
          <w:sz w:val="20"/>
          <w:szCs w:val="20"/>
          <w:lang w:val="en-GB" w:eastAsia="en-GB"/>
        </w:rPr>
      </w:pPr>
    </w:p>
    <w:p w14:paraId="23CD7C44" w14:textId="77777777" w:rsidR="00FC50D8" w:rsidRDefault="00FC50D8" w:rsidP="00FC50D8">
      <w:pPr>
        <w:ind w:hanging="1134"/>
        <w:rPr>
          <w:rFonts w:ascii="Arial" w:eastAsia="Times New Roman" w:hAnsi="Arial" w:cs="Arial"/>
          <w:b/>
          <w:color w:val="333333"/>
          <w:sz w:val="20"/>
          <w:szCs w:val="20"/>
          <w:lang w:val="en-GB" w:eastAsia="en-GB"/>
        </w:rPr>
      </w:pPr>
    </w:p>
    <w:tbl>
      <w:tblPr>
        <w:tblStyle w:val="TableGrid"/>
        <w:tblW w:w="15593" w:type="dxa"/>
        <w:tblInd w:w="-856" w:type="dxa"/>
        <w:tblLayout w:type="fixed"/>
        <w:tblLook w:val="04A0" w:firstRow="1" w:lastRow="0" w:firstColumn="1" w:lastColumn="0" w:noHBand="0" w:noVBand="1"/>
      </w:tblPr>
      <w:tblGrid>
        <w:gridCol w:w="1135"/>
        <w:gridCol w:w="1701"/>
        <w:gridCol w:w="1559"/>
        <w:gridCol w:w="1276"/>
        <w:gridCol w:w="2693"/>
        <w:gridCol w:w="1559"/>
        <w:gridCol w:w="1418"/>
        <w:gridCol w:w="2268"/>
        <w:gridCol w:w="1984"/>
      </w:tblGrid>
      <w:tr w:rsidR="00FC50D8" w:rsidRPr="00CD038B" w14:paraId="0A67B249" w14:textId="77777777" w:rsidTr="00FC50D8">
        <w:tc>
          <w:tcPr>
            <w:tcW w:w="1135" w:type="dxa"/>
          </w:tcPr>
          <w:p w14:paraId="1D24F833" w14:textId="77777777" w:rsidR="00FC50D8" w:rsidRPr="00CD038B" w:rsidRDefault="00FC50D8" w:rsidP="007267AB">
            <w:pPr>
              <w:rPr>
                <w:rFonts w:ascii="Arial" w:hAnsi="Arial" w:cs="Arial"/>
                <w:sz w:val="20"/>
                <w:szCs w:val="20"/>
              </w:rPr>
            </w:pPr>
          </w:p>
        </w:tc>
        <w:tc>
          <w:tcPr>
            <w:tcW w:w="1701" w:type="dxa"/>
          </w:tcPr>
          <w:p w14:paraId="2E52788C" w14:textId="77777777" w:rsidR="00FC50D8" w:rsidRPr="00CD038B" w:rsidRDefault="00FC50D8" w:rsidP="007267AB">
            <w:pPr>
              <w:rPr>
                <w:rFonts w:ascii="Arial" w:hAnsi="Arial" w:cs="Arial"/>
                <w:b/>
                <w:sz w:val="20"/>
                <w:szCs w:val="20"/>
              </w:rPr>
            </w:pPr>
            <w:r w:rsidRPr="00CD038B">
              <w:rPr>
                <w:rFonts w:ascii="Arial" w:hAnsi="Arial" w:cs="Arial"/>
                <w:b/>
                <w:sz w:val="20"/>
                <w:szCs w:val="20"/>
              </w:rPr>
              <w:t>Data collected by the organisation</w:t>
            </w:r>
          </w:p>
        </w:tc>
        <w:tc>
          <w:tcPr>
            <w:tcW w:w="1559" w:type="dxa"/>
          </w:tcPr>
          <w:p w14:paraId="2CE7594B" w14:textId="77777777" w:rsidR="00FC50D8" w:rsidRPr="00CD038B" w:rsidRDefault="00FC50D8" w:rsidP="007267AB">
            <w:pPr>
              <w:rPr>
                <w:rFonts w:ascii="Arial" w:hAnsi="Arial" w:cs="Arial"/>
                <w:b/>
                <w:sz w:val="20"/>
                <w:szCs w:val="20"/>
              </w:rPr>
            </w:pPr>
            <w:r w:rsidRPr="00CD038B">
              <w:rPr>
                <w:rFonts w:ascii="Arial" w:hAnsi="Arial" w:cs="Arial"/>
                <w:b/>
                <w:sz w:val="20"/>
                <w:szCs w:val="20"/>
              </w:rPr>
              <w:t>Source of data</w:t>
            </w:r>
          </w:p>
        </w:tc>
        <w:tc>
          <w:tcPr>
            <w:tcW w:w="1276" w:type="dxa"/>
          </w:tcPr>
          <w:p w14:paraId="42596232" w14:textId="77777777" w:rsidR="00FC50D8" w:rsidRPr="00CD038B" w:rsidRDefault="00FC50D8" w:rsidP="007267AB">
            <w:pPr>
              <w:rPr>
                <w:rFonts w:ascii="Arial" w:hAnsi="Arial" w:cs="Arial"/>
                <w:b/>
                <w:sz w:val="20"/>
                <w:szCs w:val="20"/>
              </w:rPr>
            </w:pPr>
            <w:r w:rsidRPr="00CD038B">
              <w:rPr>
                <w:rFonts w:ascii="Arial" w:hAnsi="Arial" w:cs="Arial"/>
                <w:b/>
                <w:sz w:val="20"/>
                <w:szCs w:val="20"/>
              </w:rPr>
              <w:t>Why data is processed</w:t>
            </w:r>
          </w:p>
        </w:tc>
        <w:tc>
          <w:tcPr>
            <w:tcW w:w="2693" w:type="dxa"/>
          </w:tcPr>
          <w:p w14:paraId="7A18EABB" w14:textId="77777777" w:rsidR="00FC50D8" w:rsidRPr="00CD038B" w:rsidRDefault="00FC50D8" w:rsidP="007267AB">
            <w:pPr>
              <w:rPr>
                <w:rFonts w:ascii="Arial" w:hAnsi="Arial" w:cs="Arial"/>
                <w:b/>
                <w:sz w:val="20"/>
                <w:szCs w:val="20"/>
              </w:rPr>
            </w:pPr>
            <w:r w:rsidRPr="00CD038B">
              <w:rPr>
                <w:rFonts w:ascii="Arial" w:hAnsi="Arial" w:cs="Arial"/>
                <w:b/>
                <w:sz w:val="20"/>
                <w:szCs w:val="20"/>
              </w:rPr>
              <w:t>Legal basis of processing</w:t>
            </w:r>
          </w:p>
        </w:tc>
        <w:tc>
          <w:tcPr>
            <w:tcW w:w="1559" w:type="dxa"/>
          </w:tcPr>
          <w:p w14:paraId="28F20E95" w14:textId="77777777" w:rsidR="00FC50D8" w:rsidRPr="00CD038B" w:rsidRDefault="00FC50D8" w:rsidP="007267AB">
            <w:pPr>
              <w:rPr>
                <w:rFonts w:ascii="Arial" w:hAnsi="Arial" w:cs="Arial"/>
                <w:b/>
                <w:sz w:val="20"/>
                <w:szCs w:val="20"/>
              </w:rPr>
            </w:pPr>
            <w:r w:rsidRPr="00CD038B">
              <w:rPr>
                <w:rFonts w:ascii="Arial" w:hAnsi="Arial" w:cs="Arial"/>
                <w:b/>
                <w:sz w:val="20"/>
                <w:szCs w:val="20"/>
              </w:rPr>
              <w:t xml:space="preserve">Where data is stored </w:t>
            </w:r>
          </w:p>
        </w:tc>
        <w:tc>
          <w:tcPr>
            <w:tcW w:w="1418" w:type="dxa"/>
          </w:tcPr>
          <w:p w14:paraId="69262D56" w14:textId="77777777" w:rsidR="00FC50D8" w:rsidRPr="00CD038B" w:rsidRDefault="00FC50D8" w:rsidP="007267AB">
            <w:pPr>
              <w:rPr>
                <w:rFonts w:ascii="Arial" w:hAnsi="Arial" w:cs="Arial"/>
                <w:b/>
                <w:sz w:val="20"/>
                <w:szCs w:val="20"/>
              </w:rPr>
            </w:pPr>
            <w:r w:rsidRPr="00CD038B">
              <w:rPr>
                <w:rFonts w:ascii="Arial" w:hAnsi="Arial" w:cs="Arial"/>
                <w:b/>
                <w:sz w:val="20"/>
                <w:szCs w:val="20"/>
              </w:rPr>
              <w:t>Retention period</w:t>
            </w:r>
          </w:p>
        </w:tc>
        <w:tc>
          <w:tcPr>
            <w:tcW w:w="2268" w:type="dxa"/>
          </w:tcPr>
          <w:p w14:paraId="78A639D2" w14:textId="77777777" w:rsidR="00FC50D8" w:rsidRPr="00CD038B" w:rsidRDefault="00FC50D8" w:rsidP="007267AB">
            <w:pPr>
              <w:rPr>
                <w:rFonts w:ascii="Arial" w:hAnsi="Arial" w:cs="Arial"/>
                <w:b/>
                <w:sz w:val="20"/>
                <w:szCs w:val="20"/>
              </w:rPr>
            </w:pPr>
            <w:r w:rsidRPr="00CD038B">
              <w:rPr>
                <w:rFonts w:ascii="Arial" w:hAnsi="Arial" w:cs="Arial"/>
                <w:b/>
                <w:sz w:val="20"/>
                <w:szCs w:val="20"/>
              </w:rPr>
              <w:t>Deletion/destruction arrangements</w:t>
            </w:r>
          </w:p>
        </w:tc>
        <w:tc>
          <w:tcPr>
            <w:tcW w:w="1984" w:type="dxa"/>
          </w:tcPr>
          <w:p w14:paraId="1C05179D" w14:textId="77777777" w:rsidR="00FC50D8" w:rsidRPr="00CD038B" w:rsidRDefault="00FC50D8" w:rsidP="007267AB">
            <w:pPr>
              <w:rPr>
                <w:rFonts w:ascii="Arial" w:hAnsi="Arial" w:cs="Arial"/>
                <w:b/>
                <w:sz w:val="20"/>
                <w:szCs w:val="20"/>
              </w:rPr>
            </w:pPr>
            <w:r w:rsidRPr="00CD038B">
              <w:rPr>
                <w:rFonts w:ascii="Arial" w:hAnsi="Arial" w:cs="Arial"/>
                <w:b/>
                <w:sz w:val="20"/>
                <w:szCs w:val="20"/>
              </w:rPr>
              <w:t>Recipients of data</w:t>
            </w:r>
          </w:p>
        </w:tc>
      </w:tr>
      <w:tr w:rsidR="00FC50D8" w:rsidRPr="00CD038B" w14:paraId="12D57BE4" w14:textId="77777777" w:rsidTr="00FC50D8">
        <w:trPr>
          <w:trHeight w:val="3907"/>
        </w:trPr>
        <w:tc>
          <w:tcPr>
            <w:tcW w:w="1135" w:type="dxa"/>
          </w:tcPr>
          <w:p w14:paraId="472F629A" w14:textId="77777777" w:rsidR="00FC50D8" w:rsidRPr="00CD038B" w:rsidRDefault="00FC50D8" w:rsidP="007267AB">
            <w:pPr>
              <w:rPr>
                <w:rFonts w:ascii="Arial" w:hAnsi="Arial" w:cs="Arial"/>
                <w:sz w:val="20"/>
                <w:szCs w:val="20"/>
              </w:rPr>
            </w:pPr>
            <w:r>
              <w:rPr>
                <w:rFonts w:ascii="Arial" w:hAnsi="Arial" w:cs="Arial"/>
                <w:sz w:val="20"/>
                <w:szCs w:val="20"/>
              </w:rPr>
              <w:t>Identifying details</w:t>
            </w:r>
          </w:p>
        </w:tc>
        <w:tc>
          <w:tcPr>
            <w:tcW w:w="1701" w:type="dxa"/>
          </w:tcPr>
          <w:p w14:paraId="7FE67DBE" w14:textId="77777777" w:rsidR="00FC50D8" w:rsidRPr="00CD038B" w:rsidRDefault="00FC50D8" w:rsidP="007267AB">
            <w:pPr>
              <w:rPr>
                <w:rFonts w:ascii="Arial" w:hAnsi="Arial" w:cs="Arial"/>
                <w:sz w:val="20"/>
                <w:szCs w:val="20"/>
              </w:rPr>
            </w:pPr>
            <w:r>
              <w:rPr>
                <w:rFonts w:ascii="Arial" w:hAnsi="Arial" w:cs="Arial"/>
                <w:sz w:val="20"/>
                <w:szCs w:val="20"/>
              </w:rPr>
              <w:t>Your</w:t>
            </w:r>
          </w:p>
          <w:p w14:paraId="4872CD05" w14:textId="77777777" w:rsidR="00FC50D8" w:rsidRPr="00CD038B" w:rsidRDefault="00FC50D8" w:rsidP="007267AB">
            <w:pPr>
              <w:rPr>
                <w:rFonts w:ascii="Arial" w:hAnsi="Arial" w:cs="Arial"/>
                <w:sz w:val="20"/>
                <w:szCs w:val="20"/>
              </w:rPr>
            </w:pPr>
            <w:r>
              <w:rPr>
                <w:rFonts w:ascii="Arial" w:hAnsi="Arial" w:cs="Arial"/>
                <w:sz w:val="20"/>
                <w:szCs w:val="20"/>
              </w:rPr>
              <w:t>n</w:t>
            </w:r>
            <w:r w:rsidRPr="00CD038B">
              <w:rPr>
                <w:rFonts w:ascii="Arial" w:hAnsi="Arial" w:cs="Arial"/>
                <w:sz w:val="20"/>
                <w:szCs w:val="20"/>
              </w:rPr>
              <w:t>ame</w:t>
            </w:r>
            <w:r>
              <w:rPr>
                <w:rFonts w:ascii="Arial" w:hAnsi="Arial" w:cs="Arial"/>
                <w:sz w:val="20"/>
                <w:szCs w:val="20"/>
              </w:rPr>
              <w:t xml:space="preserve"> and, possibly, in the event of the patient suffering an adverse reaction, contact details</w:t>
            </w:r>
          </w:p>
          <w:p w14:paraId="77302157" w14:textId="77777777" w:rsidR="00FC50D8" w:rsidRPr="00CD038B" w:rsidRDefault="00FC50D8" w:rsidP="007267AB">
            <w:pPr>
              <w:rPr>
                <w:rFonts w:ascii="Arial" w:hAnsi="Arial" w:cs="Arial"/>
                <w:sz w:val="20"/>
                <w:szCs w:val="20"/>
              </w:rPr>
            </w:pPr>
          </w:p>
          <w:p w14:paraId="0C7BEF5C" w14:textId="77777777" w:rsidR="00FC50D8" w:rsidRPr="00CD038B" w:rsidRDefault="00FC50D8" w:rsidP="007267AB">
            <w:pPr>
              <w:rPr>
                <w:rFonts w:ascii="Arial" w:hAnsi="Arial" w:cs="Arial"/>
                <w:sz w:val="20"/>
                <w:szCs w:val="20"/>
              </w:rPr>
            </w:pPr>
          </w:p>
        </w:tc>
        <w:tc>
          <w:tcPr>
            <w:tcW w:w="1559" w:type="dxa"/>
          </w:tcPr>
          <w:p w14:paraId="099A4D81" w14:textId="77777777" w:rsidR="00FC50D8" w:rsidRPr="00CD038B" w:rsidRDefault="00FC50D8" w:rsidP="007267AB">
            <w:pPr>
              <w:rPr>
                <w:rFonts w:ascii="Arial" w:hAnsi="Arial" w:cs="Arial"/>
                <w:sz w:val="20"/>
                <w:szCs w:val="20"/>
              </w:rPr>
            </w:pPr>
            <w:r>
              <w:rPr>
                <w:rFonts w:ascii="Arial" w:hAnsi="Arial" w:cs="Arial"/>
                <w:sz w:val="20"/>
                <w:szCs w:val="20"/>
              </w:rPr>
              <w:t>The data you provide to the patient’s prescriber will be passed to the organisation.</w:t>
            </w:r>
          </w:p>
        </w:tc>
        <w:tc>
          <w:tcPr>
            <w:tcW w:w="1276" w:type="dxa"/>
          </w:tcPr>
          <w:p w14:paraId="7F9C005D" w14:textId="77777777" w:rsidR="00FC50D8" w:rsidRPr="00CD038B" w:rsidRDefault="00FC50D8" w:rsidP="007267AB">
            <w:pPr>
              <w:rPr>
                <w:rFonts w:ascii="Arial" w:hAnsi="Arial" w:cs="Arial"/>
                <w:sz w:val="20"/>
                <w:szCs w:val="20"/>
              </w:rPr>
            </w:pPr>
            <w:r w:rsidRPr="00CD038B">
              <w:rPr>
                <w:rFonts w:ascii="Arial" w:hAnsi="Arial" w:cs="Arial"/>
                <w:sz w:val="20"/>
                <w:szCs w:val="20"/>
              </w:rPr>
              <w:t xml:space="preserve">To enable </w:t>
            </w:r>
            <w:r>
              <w:rPr>
                <w:rFonts w:ascii="Arial" w:hAnsi="Arial" w:cs="Arial"/>
                <w:sz w:val="20"/>
                <w:szCs w:val="20"/>
              </w:rPr>
              <w:t>patient for whom you are responsible</w:t>
            </w:r>
            <w:r w:rsidRPr="00CD038B">
              <w:rPr>
                <w:rFonts w:ascii="Arial" w:hAnsi="Arial" w:cs="Arial"/>
                <w:sz w:val="20"/>
                <w:szCs w:val="20"/>
              </w:rPr>
              <w:t xml:space="preserve"> to participate in the Cidofovir Exposure Study</w:t>
            </w:r>
          </w:p>
        </w:tc>
        <w:tc>
          <w:tcPr>
            <w:tcW w:w="2693" w:type="dxa"/>
          </w:tcPr>
          <w:p w14:paraId="1EC6D9F6" w14:textId="77777777" w:rsidR="00FC50D8" w:rsidRDefault="00FC50D8" w:rsidP="007267AB">
            <w:pPr>
              <w:rPr>
                <w:rFonts w:ascii="Arial" w:hAnsi="Arial" w:cs="Arial"/>
                <w:sz w:val="20"/>
                <w:szCs w:val="20"/>
              </w:rPr>
            </w:pPr>
            <w:r w:rsidRPr="00CD038B">
              <w:rPr>
                <w:rFonts w:ascii="Arial" w:hAnsi="Arial" w:cs="Arial"/>
                <w:sz w:val="20"/>
                <w:szCs w:val="20"/>
              </w:rPr>
              <w:t xml:space="preserve">Article 6 (1) (f) </w:t>
            </w:r>
            <w:r>
              <w:rPr>
                <w:rFonts w:ascii="Arial" w:hAnsi="Arial" w:cs="Arial"/>
                <w:sz w:val="20"/>
                <w:szCs w:val="20"/>
              </w:rPr>
              <w:t>– it is in the organisation’s legitimate interests to retain information about you for the purpose of recording the consent you give on behalf of a patient to participation in the Cidofovir Exposure Study.</w:t>
            </w:r>
          </w:p>
          <w:p w14:paraId="4DA474AE" w14:textId="77777777" w:rsidR="00FC50D8" w:rsidRDefault="00FC50D8" w:rsidP="007267AB">
            <w:pPr>
              <w:rPr>
                <w:rFonts w:ascii="Arial" w:hAnsi="Arial" w:cs="Arial"/>
                <w:sz w:val="20"/>
                <w:szCs w:val="20"/>
                <w:shd w:val="clear" w:color="auto" w:fill="FFFFFF"/>
              </w:rPr>
            </w:pPr>
            <w:r w:rsidRPr="00CD038B">
              <w:rPr>
                <w:rFonts w:ascii="Arial" w:hAnsi="Arial" w:cs="Arial"/>
                <w:sz w:val="20"/>
                <w:szCs w:val="20"/>
              </w:rPr>
              <w:t xml:space="preserve">The personal data will be kept confidential with access limited to </w:t>
            </w:r>
            <w:r>
              <w:rPr>
                <w:rFonts w:ascii="Arial" w:hAnsi="Arial" w:cs="Arial"/>
                <w:sz w:val="20"/>
                <w:szCs w:val="20"/>
              </w:rPr>
              <w:t>the organisation’s staff who work on the study, or support them.</w:t>
            </w:r>
            <w:r w:rsidRPr="00CD038B">
              <w:rPr>
                <w:rFonts w:ascii="Arial" w:hAnsi="Arial" w:cs="Arial"/>
                <w:sz w:val="20"/>
                <w:szCs w:val="20"/>
              </w:rPr>
              <w:t xml:space="preserve"> It will not be used for any purpose other than that listed under ‘Why data is processed’. On balance, the organisation’s</w:t>
            </w:r>
            <w:r w:rsidRPr="00CD038B">
              <w:rPr>
                <w:rFonts w:ascii="Arial" w:hAnsi="Arial" w:cs="Arial"/>
                <w:sz w:val="20"/>
                <w:szCs w:val="20"/>
                <w:shd w:val="clear" w:color="auto" w:fill="FFFFFF"/>
              </w:rPr>
              <w:t xml:space="preserve"> legitimate interests are not overridden by </w:t>
            </w:r>
            <w:r>
              <w:rPr>
                <w:rFonts w:ascii="Arial" w:hAnsi="Arial" w:cs="Arial"/>
                <w:sz w:val="20"/>
                <w:szCs w:val="20"/>
                <w:shd w:val="clear" w:color="auto" w:fill="FFFFFF"/>
              </w:rPr>
              <w:t>your</w:t>
            </w:r>
            <w:r w:rsidRPr="00CD038B">
              <w:rPr>
                <w:rFonts w:ascii="Arial" w:hAnsi="Arial" w:cs="Arial"/>
                <w:sz w:val="20"/>
                <w:szCs w:val="20"/>
                <w:shd w:val="clear" w:color="auto" w:fill="FFFFFF"/>
              </w:rPr>
              <w:t xml:space="preserve"> interests or fundamental rights and freedoms which require protection of personal data</w:t>
            </w:r>
            <w:r>
              <w:rPr>
                <w:rFonts w:ascii="Arial" w:hAnsi="Arial" w:cs="Arial"/>
                <w:sz w:val="20"/>
                <w:szCs w:val="20"/>
                <w:shd w:val="clear" w:color="auto" w:fill="FFFFFF"/>
              </w:rPr>
              <w:t>.</w:t>
            </w:r>
          </w:p>
          <w:p w14:paraId="391D0789" w14:textId="77777777" w:rsidR="00FC50D8" w:rsidRDefault="00FC50D8" w:rsidP="007267AB">
            <w:pPr>
              <w:rPr>
                <w:rFonts w:ascii="Arial" w:hAnsi="Arial" w:cs="Arial"/>
                <w:sz w:val="20"/>
                <w:szCs w:val="20"/>
                <w:shd w:val="clear" w:color="auto" w:fill="FFFFFF"/>
              </w:rPr>
            </w:pPr>
          </w:p>
          <w:p w14:paraId="29B6E1D2" w14:textId="77777777" w:rsidR="00FC50D8" w:rsidRDefault="00FC50D8" w:rsidP="007267AB">
            <w:pPr>
              <w:rPr>
                <w:rFonts w:ascii="Arial" w:hAnsi="Arial" w:cs="Arial"/>
                <w:sz w:val="20"/>
                <w:szCs w:val="20"/>
                <w:shd w:val="clear" w:color="auto" w:fill="FFFFFF"/>
              </w:rPr>
            </w:pPr>
          </w:p>
          <w:p w14:paraId="680200F7" w14:textId="77777777" w:rsidR="00FC50D8" w:rsidRDefault="00FC50D8" w:rsidP="007267AB">
            <w:pPr>
              <w:rPr>
                <w:rFonts w:ascii="Arial" w:hAnsi="Arial" w:cs="Arial"/>
                <w:sz w:val="20"/>
                <w:szCs w:val="20"/>
                <w:shd w:val="clear" w:color="auto" w:fill="FFFFFF"/>
              </w:rPr>
            </w:pPr>
          </w:p>
          <w:p w14:paraId="2FEBEF1B" w14:textId="77777777" w:rsidR="00FC50D8" w:rsidRDefault="00FC50D8" w:rsidP="007267AB">
            <w:pPr>
              <w:rPr>
                <w:rFonts w:ascii="Arial" w:hAnsi="Arial" w:cs="Arial"/>
                <w:sz w:val="20"/>
                <w:szCs w:val="20"/>
                <w:shd w:val="clear" w:color="auto" w:fill="FFFFFF"/>
              </w:rPr>
            </w:pPr>
          </w:p>
          <w:p w14:paraId="09409D74" w14:textId="77777777" w:rsidR="00FC50D8" w:rsidRDefault="00FC50D8" w:rsidP="007267AB">
            <w:pPr>
              <w:rPr>
                <w:rFonts w:ascii="Arial" w:hAnsi="Arial" w:cs="Arial"/>
                <w:sz w:val="20"/>
                <w:szCs w:val="20"/>
                <w:shd w:val="clear" w:color="auto" w:fill="FFFFFF"/>
              </w:rPr>
            </w:pPr>
            <w:r>
              <w:rPr>
                <w:rFonts w:ascii="Arial" w:hAnsi="Arial" w:cs="Arial"/>
                <w:sz w:val="20"/>
                <w:szCs w:val="20"/>
                <w:shd w:val="clear" w:color="auto" w:fill="FFFFFF"/>
              </w:rPr>
              <w:t>Article 6 (1) (a) – in relation to an adverse reaction suffered by the patient and processing is undertaken with your consent.</w:t>
            </w:r>
          </w:p>
          <w:p w14:paraId="0EE518ED" w14:textId="77777777" w:rsidR="00FC50D8" w:rsidRDefault="00FC50D8" w:rsidP="007267AB">
            <w:pPr>
              <w:rPr>
                <w:rFonts w:ascii="Arial" w:hAnsi="Arial" w:cs="Arial"/>
                <w:sz w:val="20"/>
                <w:szCs w:val="20"/>
                <w:shd w:val="clear" w:color="auto" w:fill="FFFFFF"/>
              </w:rPr>
            </w:pPr>
          </w:p>
          <w:p w14:paraId="05F9EEE7" w14:textId="77777777" w:rsidR="00FC50D8" w:rsidRPr="00851D35" w:rsidRDefault="00FC50D8" w:rsidP="007267AB">
            <w:pPr>
              <w:rPr>
                <w:rFonts w:ascii="Arial" w:hAnsi="Arial" w:cs="Arial"/>
                <w:sz w:val="20"/>
                <w:szCs w:val="20"/>
              </w:rPr>
            </w:pPr>
            <w:r w:rsidRPr="00851D35">
              <w:rPr>
                <w:rFonts w:ascii="Arial" w:hAnsi="Arial" w:cs="Arial"/>
                <w:sz w:val="20"/>
                <w:szCs w:val="20"/>
              </w:rPr>
              <w:t xml:space="preserve">Article 6 (1) (c) </w:t>
            </w:r>
            <w:r>
              <w:rPr>
                <w:rFonts w:ascii="Arial" w:hAnsi="Arial" w:cs="Arial"/>
                <w:sz w:val="20"/>
                <w:szCs w:val="20"/>
              </w:rPr>
              <w:t>–</w:t>
            </w:r>
            <w:r w:rsidRPr="00851D35">
              <w:rPr>
                <w:rFonts w:ascii="Arial" w:hAnsi="Arial" w:cs="Arial"/>
                <w:sz w:val="20"/>
                <w:szCs w:val="20"/>
              </w:rPr>
              <w:t xml:space="preserve"> </w:t>
            </w:r>
            <w:r>
              <w:rPr>
                <w:rFonts w:ascii="Arial" w:hAnsi="Arial" w:cs="Arial"/>
                <w:sz w:val="20"/>
                <w:szCs w:val="20"/>
              </w:rPr>
              <w:t xml:space="preserve">in relation to an adverse reaction suffered by the patient and </w:t>
            </w:r>
            <w:r w:rsidRPr="00851D35">
              <w:rPr>
                <w:rFonts w:ascii="Arial" w:hAnsi="Arial" w:cs="Arial"/>
                <w:sz w:val="20"/>
                <w:szCs w:val="20"/>
              </w:rPr>
              <w:t xml:space="preserve">processing is necessary for compliance with a legal obligation to which the </w:t>
            </w:r>
            <w:r>
              <w:rPr>
                <w:rFonts w:ascii="Arial" w:hAnsi="Arial" w:cs="Arial"/>
                <w:sz w:val="20"/>
                <w:szCs w:val="20"/>
              </w:rPr>
              <w:t>organisation</w:t>
            </w:r>
            <w:r w:rsidRPr="00851D35">
              <w:rPr>
                <w:rFonts w:ascii="Arial" w:hAnsi="Arial" w:cs="Arial"/>
                <w:sz w:val="20"/>
                <w:szCs w:val="20"/>
              </w:rPr>
              <w:t xml:space="preserve"> is subject</w:t>
            </w:r>
            <w:r>
              <w:rPr>
                <w:rFonts w:ascii="Arial" w:hAnsi="Arial" w:cs="Arial"/>
                <w:sz w:val="20"/>
                <w:szCs w:val="20"/>
                <w:shd w:val="clear" w:color="auto" w:fill="FFFFFF"/>
              </w:rPr>
              <w:t>.</w:t>
            </w:r>
          </w:p>
        </w:tc>
        <w:tc>
          <w:tcPr>
            <w:tcW w:w="1559" w:type="dxa"/>
          </w:tcPr>
          <w:p w14:paraId="604ECD3D" w14:textId="2764FB87" w:rsidR="00FC50D8" w:rsidRPr="00CD038B" w:rsidRDefault="00FC50D8" w:rsidP="007267AB">
            <w:pPr>
              <w:rPr>
                <w:rFonts w:ascii="Arial" w:hAnsi="Arial" w:cs="Arial"/>
                <w:sz w:val="20"/>
                <w:szCs w:val="20"/>
              </w:rPr>
            </w:pPr>
            <w:r>
              <w:rPr>
                <w:rFonts w:ascii="Arial" w:hAnsi="Arial" w:cs="Arial"/>
                <w:sz w:val="20"/>
                <w:szCs w:val="20"/>
              </w:rPr>
              <w:lastRenderedPageBreak/>
              <w:t xml:space="preserve">In an electronic database in the EU controlled by the </w:t>
            </w:r>
            <w:r w:rsidR="00711886">
              <w:rPr>
                <w:rFonts w:ascii="Arial" w:hAnsi="Arial" w:cs="Arial"/>
                <w:sz w:val="20"/>
                <w:szCs w:val="20"/>
              </w:rPr>
              <w:t>o</w:t>
            </w:r>
            <w:bookmarkStart w:id="0" w:name="_GoBack"/>
            <w:bookmarkEnd w:id="0"/>
            <w:r>
              <w:rPr>
                <w:rFonts w:ascii="Arial" w:hAnsi="Arial" w:cs="Arial"/>
                <w:sz w:val="20"/>
                <w:szCs w:val="20"/>
              </w:rPr>
              <w:t>rganisation</w:t>
            </w:r>
          </w:p>
        </w:tc>
        <w:tc>
          <w:tcPr>
            <w:tcW w:w="1418" w:type="dxa"/>
          </w:tcPr>
          <w:p w14:paraId="4A247547" w14:textId="77777777" w:rsidR="00FC50D8" w:rsidRPr="00CD038B" w:rsidRDefault="00FC50D8" w:rsidP="007267AB">
            <w:pPr>
              <w:rPr>
                <w:rFonts w:ascii="Arial" w:hAnsi="Arial" w:cs="Arial"/>
                <w:sz w:val="20"/>
                <w:szCs w:val="20"/>
              </w:rPr>
            </w:pPr>
            <w:r w:rsidRPr="00CD038B">
              <w:rPr>
                <w:rFonts w:ascii="Arial" w:hAnsi="Arial" w:cs="Arial"/>
                <w:sz w:val="20"/>
                <w:szCs w:val="20"/>
              </w:rPr>
              <w:t xml:space="preserve">Life of the marketing authorisation for Cidofovir 75mg/ml plus </w:t>
            </w:r>
            <w:r>
              <w:rPr>
                <w:rFonts w:ascii="Arial" w:hAnsi="Arial" w:cs="Arial"/>
                <w:sz w:val="20"/>
                <w:szCs w:val="20"/>
              </w:rPr>
              <w:t>10</w:t>
            </w:r>
            <w:r w:rsidRPr="00CD038B">
              <w:rPr>
                <w:rFonts w:ascii="Arial" w:hAnsi="Arial" w:cs="Arial"/>
                <w:sz w:val="20"/>
                <w:szCs w:val="20"/>
              </w:rPr>
              <w:t xml:space="preserve"> years</w:t>
            </w:r>
            <w:r>
              <w:rPr>
                <w:rFonts w:ascii="Arial" w:hAnsi="Arial" w:cs="Arial"/>
                <w:sz w:val="20"/>
                <w:szCs w:val="20"/>
              </w:rPr>
              <w:t>.</w:t>
            </w:r>
          </w:p>
        </w:tc>
        <w:tc>
          <w:tcPr>
            <w:tcW w:w="2268" w:type="dxa"/>
          </w:tcPr>
          <w:p w14:paraId="73B3EFA5" w14:textId="77777777" w:rsidR="00FC50D8" w:rsidRPr="00CD038B" w:rsidRDefault="00FC50D8" w:rsidP="007267AB">
            <w:pPr>
              <w:rPr>
                <w:rFonts w:ascii="Arial" w:hAnsi="Arial" w:cs="Arial"/>
                <w:sz w:val="20"/>
                <w:szCs w:val="20"/>
              </w:rPr>
            </w:pPr>
            <w:r w:rsidRPr="00CD038B">
              <w:rPr>
                <w:rFonts w:ascii="Arial" w:hAnsi="Arial" w:cs="Arial"/>
                <w:sz w:val="20"/>
                <w:szCs w:val="20"/>
              </w:rPr>
              <w:t xml:space="preserve">Data will be deleted </w:t>
            </w:r>
            <w:r>
              <w:rPr>
                <w:rFonts w:ascii="Arial" w:hAnsi="Arial" w:cs="Arial"/>
                <w:sz w:val="20"/>
                <w:szCs w:val="20"/>
              </w:rPr>
              <w:t>at the end of the retention period</w:t>
            </w:r>
            <w:r w:rsidRPr="00CD038B">
              <w:rPr>
                <w:rFonts w:ascii="Arial" w:hAnsi="Arial" w:cs="Arial"/>
                <w:sz w:val="20"/>
                <w:szCs w:val="20"/>
              </w:rPr>
              <w:t>.</w:t>
            </w:r>
          </w:p>
          <w:p w14:paraId="58FD7863" w14:textId="77777777" w:rsidR="00FC50D8" w:rsidRPr="00CD038B" w:rsidRDefault="00FC50D8" w:rsidP="007267AB">
            <w:pPr>
              <w:rPr>
                <w:rFonts w:ascii="Arial" w:hAnsi="Arial" w:cs="Arial"/>
                <w:sz w:val="20"/>
                <w:szCs w:val="20"/>
              </w:rPr>
            </w:pPr>
          </w:p>
          <w:p w14:paraId="0F005A17" w14:textId="77777777" w:rsidR="00FC50D8" w:rsidRDefault="00FC50D8" w:rsidP="007267AB">
            <w:pPr>
              <w:rPr>
                <w:rFonts w:ascii="Arial" w:hAnsi="Arial" w:cs="Arial"/>
                <w:sz w:val="20"/>
                <w:szCs w:val="20"/>
              </w:rPr>
            </w:pPr>
          </w:p>
          <w:p w14:paraId="1B8CDBF4" w14:textId="77777777" w:rsidR="00FC50D8" w:rsidRPr="00CD038B" w:rsidRDefault="00FC50D8" w:rsidP="007267AB">
            <w:pPr>
              <w:rPr>
                <w:rFonts w:ascii="Arial" w:hAnsi="Arial" w:cs="Arial"/>
                <w:sz w:val="20"/>
                <w:szCs w:val="20"/>
              </w:rPr>
            </w:pPr>
          </w:p>
        </w:tc>
        <w:tc>
          <w:tcPr>
            <w:tcW w:w="1984" w:type="dxa"/>
          </w:tcPr>
          <w:p w14:paraId="05DEF0F1" w14:textId="77777777" w:rsidR="00FC50D8" w:rsidRPr="00A241CC" w:rsidRDefault="00FC50D8" w:rsidP="007267AB">
            <w:pPr>
              <w:rPr>
                <w:rFonts w:ascii="Arial" w:hAnsi="Arial" w:cs="Arial"/>
                <w:sz w:val="20"/>
                <w:szCs w:val="20"/>
              </w:rPr>
            </w:pPr>
            <w:r>
              <w:rPr>
                <w:rFonts w:ascii="Arial" w:hAnsi="Arial" w:cs="Arial"/>
                <w:sz w:val="20"/>
                <w:szCs w:val="20"/>
              </w:rPr>
              <w:t>1.</w:t>
            </w:r>
            <w:r w:rsidRPr="00A241CC">
              <w:rPr>
                <w:rFonts w:ascii="Arial" w:hAnsi="Arial" w:cs="Arial"/>
                <w:sz w:val="20"/>
                <w:szCs w:val="20"/>
              </w:rPr>
              <w:t>The organisation’s drug safety monitoring consultant.</w:t>
            </w:r>
          </w:p>
          <w:p w14:paraId="54CE0419" w14:textId="77777777" w:rsidR="00FC50D8" w:rsidRDefault="00FC50D8" w:rsidP="007267AB">
            <w:pPr>
              <w:rPr>
                <w:rFonts w:ascii="Arial" w:hAnsi="Arial" w:cs="Arial"/>
                <w:sz w:val="20"/>
                <w:szCs w:val="20"/>
              </w:rPr>
            </w:pPr>
            <w:r>
              <w:rPr>
                <w:rFonts w:ascii="Arial" w:hAnsi="Arial" w:cs="Arial"/>
                <w:sz w:val="20"/>
                <w:szCs w:val="20"/>
              </w:rPr>
              <w:t>2.The organisation’s IT support provider may view your data while correcting technical issues with the Cidofovir Exposure Study Registry.</w:t>
            </w:r>
          </w:p>
          <w:p w14:paraId="7E8015E9" w14:textId="77777777" w:rsidR="00FC50D8" w:rsidRPr="00CD038B" w:rsidRDefault="00FC50D8" w:rsidP="007267AB">
            <w:pPr>
              <w:rPr>
                <w:rFonts w:ascii="Arial" w:hAnsi="Arial" w:cs="Arial"/>
                <w:sz w:val="20"/>
                <w:szCs w:val="20"/>
              </w:rPr>
            </w:pPr>
            <w:r>
              <w:rPr>
                <w:rFonts w:ascii="Arial" w:hAnsi="Arial" w:cs="Arial"/>
                <w:sz w:val="20"/>
                <w:szCs w:val="20"/>
              </w:rPr>
              <w:t>3. In the event the patient suffers an adverse reaction and provided you consent to the release of your name and contact details, to the organisation and/or its pharmacovigilance provider.</w:t>
            </w:r>
          </w:p>
        </w:tc>
      </w:tr>
    </w:tbl>
    <w:p w14:paraId="22FE9134" w14:textId="77777777" w:rsidR="00FC50D8" w:rsidRDefault="00FC50D8" w:rsidP="00FC50D8"/>
    <w:p w14:paraId="40113576" w14:textId="77777777" w:rsidR="00063EE7" w:rsidRDefault="00063EE7"/>
    <w:sectPr w:rsidR="00063EE7" w:rsidSect="0046782D">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420B2" w14:textId="77777777" w:rsidR="00000000" w:rsidRDefault="00711886">
      <w:pPr>
        <w:spacing w:after="0" w:line="240" w:lineRule="auto"/>
      </w:pPr>
      <w:r>
        <w:separator/>
      </w:r>
    </w:p>
  </w:endnote>
  <w:endnote w:type="continuationSeparator" w:id="0">
    <w:p w14:paraId="0DCF52C7" w14:textId="77777777" w:rsidR="00000000" w:rsidRDefault="0071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3976F" w14:textId="77777777" w:rsidR="002E1233" w:rsidRPr="002E1233" w:rsidRDefault="00711886" w:rsidP="002E1233">
    <w:pPr>
      <w:pStyle w:val="Footer"/>
      <w:jc w:val="right"/>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3B816" w14:textId="77777777" w:rsidR="00000000" w:rsidRDefault="00711886">
      <w:pPr>
        <w:spacing w:after="0" w:line="240" w:lineRule="auto"/>
      </w:pPr>
      <w:r>
        <w:separator/>
      </w:r>
    </w:p>
  </w:footnote>
  <w:footnote w:type="continuationSeparator" w:id="0">
    <w:p w14:paraId="56220DF5" w14:textId="77777777" w:rsidR="00000000" w:rsidRDefault="0071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724A2"/>
    <w:multiLevelType w:val="multilevel"/>
    <w:tmpl w:val="40B6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8165D"/>
    <w:multiLevelType w:val="hybridMultilevel"/>
    <w:tmpl w:val="2D022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D8"/>
    <w:rsid w:val="00063EE7"/>
    <w:rsid w:val="0047604F"/>
    <w:rsid w:val="00711886"/>
    <w:rsid w:val="00FC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FB8C"/>
  <w15:chartTrackingRefBased/>
  <w15:docId w15:val="{EAE2C82B-C72D-4EE9-82D8-7563853B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5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0D8"/>
  </w:style>
  <w:style w:type="table" w:styleId="TableGrid">
    <w:name w:val="Table Grid"/>
    <w:basedOn w:val="TableNormal"/>
    <w:uiPriority w:val="39"/>
    <w:rsid w:val="00FC50D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50D8"/>
    <w:rPr>
      <w:sz w:val="16"/>
      <w:szCs w:val="16"/>
    </w:rPr>
  </w:style>
  <w:style w:type="paragraph" w:styleId="CommentText">
    <w:name w:val="annotation text"/>
    <w:basedOn w:val="Normal"/>
    <w:link w:val="CommentTextChar"/>
    <w:uiPriority w:val="99"/>
    <w:semiHidden/>
    <w:unhideWhenUsed/>
    <w:rsid w:val="00FC50D8"/>
    <w:pPr>
      <w:spacing w:line="240" w:lineRule="auto"/>
    </w:pPr>
    <w:rPr>
      <w:sz w:val="20"/>
      <w:szCs w:val="20"/>
    </w:rPr>
  </w:style>
  <w:style w:type="character" w:customStyle="1" w:styleId="CommentTextChar">
    <w:name w:val="Comment Text Char"/>
    <w:basedOn w:val="DefaultParagraphFont"/>
    <w:link w:val="CommentText"/>
    <w:uiPriority w:val="99"/>
    <w:semiHidden/>
    <w:rsid w:val="00FC50D8"/>
    <w:rPr>
      <w:sz w:val="20"/>
      <w:szCs w:val="20"/>
    </w:rPr>
  </w:style>
  <w:style w:type="paragraph" w:styleId="BalloonText">
    <w:name w:val="Balloon Text"/>
    <w:basedOn w:val="Normal"/>
    <w:link w:val="BalloonTextChar"/>
    <w:uiPriority w:val="99"/>
    <w:semiHidden/>
    <w:unhideWhenUsed/>
    <w:rsid w:val="00FC5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0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ompanysecretary@tillomed.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 Sue</dc:creator>
  <cp:keywords/>
  <dc:description/>
  <cp:lastModifiedBy>Hide, Sue</cp:lastModifiedBy>
  <cp:revision>2</cp:revision>
  <dcterms:created xsi:type="dcterms:W3CDTF">2019-05-03T10:02:00Z</dcterms:created>
  <dcterms:modified xsi:type="dcterms:W3CDTF">2019-05-03T10:10:00Z</dcterms:modified>
</cp:coreProperties>
</file>