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4B6B94"/>
          <w:sz w:val="22"/>
        </w:rPr>
        <w:t>ENTERPRISE ARCHITECTURE &amp; DATABASE GOVERNANCE AUDIT</w:t>
      </w:r>
    </w:p>
    <w:p>
      <w:pPr>
        <w:spacing w:before="160" w:after="160"/>
      </w:pPr>
      <w:r>
        <w:rPr>
          <w:b/>
          <w:color w:val="1B365D"/>
          <w:sz w:val="48"/>
        </w:rPr>
        <w:t>Complete ERP SQL-to-Neo4j</w:t>
        <w:br/>
        <w:t>Data Synchronization Audit &amp;</w:t>
        <w:br/>
        <w:t>Technical Reverification Report</w:t>
      </w:r>
    </w:p>
    <w:p>
      <w:pPr>
        <w:spacing w:after="480"/>
      </w:pPr>
      <w:r>
        <w:rPr>
          <w:color w:val="64748B"/>
          <w:sz w:val="22"/>
        </w:rPr>
        <w:t>A clear, evidence-based, module-by-module architectural verification of MySQL (vivek_erp) to Neo4j knowledge graph data flows, recent bug fixes, operational pipelines, breakpoints, and data integrity.</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4968"/>
        <w:gridCol w:w="4968"/>
      </w:tblGrid>
      <w:tr>
        <w:tc>
          <w:tcPr>
            <w:tcW w:type="dxa" w:w="3600"/>
            <w:shd w:fill="F8FAFC"/>
            <w:tcMar>
              <w:top w:w="100" w:type="dxa"/>
              <w:bottom w:w="100" w:type="dxa"/>
              <w:left w:w="140" w:type="dxa"/>
              <w:right w:w="140" w:type="dxa"/>
            </w:tcMar>
          </w:tcPr>
          <w:p>
            <w:pPr>
              <w:jc w:val="left"/>
            </w:pPr>
            <w:r>
              <w:rPr>
                <w:rFonts w:ascii="Calibri" w:hAnsi="Calibri"/>
                <w:b/>
                <w:i w:val="0"/>
                <w:color w:val="222222"/>
                <w:sz w:val="18"/>
              </w:rPr>
              <w:t>Audit Date &amp; Version</w:t>
            </w:r>
          </w:p>
        </w:tc>
        <w:tc>
          <w:tcPr>
            <w:tcW w:type="dxa" w:w="6480"/>
            <w:tcMar>
              <w:top w:w="100" w:type="dxa"/>
              <w:bottom w:w="100" w:type="dxa"/>
              <w:left w:w="140" w:type="dxa"/>
              <w:right w:w="140" w:type="dxa"/>
            </w:tcMar>
          </w:tcPr>
          <w:p>
            <w:pPr>
              <w:jc w:val="left"/>
            </w:pPr>
            <w:r>
              <w:rPr>
                <w:rFonts w:ascii="Calibri" w:hAnsi="Calibri"/>
                <w:b w:val="0"/>
                <w:i w:val="0"/>
                <w:color w:val="222222"/>
                <w:sz w:val="18"/>
              </w:rPr>
              <w:t>October 29, 2026 | Edition 2.0 (Post-Fix Reverification)</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Auditor Role</w:t>
            </w:r>
          </w:p>
        </w:tc>
        <w:tc>
          <w:tcPr>
            <w:tcW w:type="dxa" w:w="6480"/>
            <w:tcMar>
              <w:top w:w="100" w:type="dxa"/>
              <w:bottom w:w="100" w:type="dxa"/>
              <w:left w:w="140" w:type="dxa"/>
              <w:right w:w="140" w:type="dxa"/>
            </w:tcMar>
          </w:tcPr>
          <w:p>
            <w:pPr>
              <w:jc w:val="left"/>
            </w:pPr>
            <w:r>
              <w:rPr>
                <w:rFonts w:ascii="Calibri" w:hAnsi="Calibri"/>
                <w:b w:val="0"/>
                <w:i w:val="0"/>
                <w:color w:val="222222"/>
                <w:sz w:val="18"/>
              </w:rPr>
              <w:t>Senior ERP Architect, Database Engineer &amp; Data Pipeline Auditor</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Application Scope</w:t>
            </w:r>
          </w:p>
        </w:tc>
        <w:tc>
          <w:tcPr>
            <w:tcW w:type="dxa" w:w="6480"/>
            <w:tcMar>
              <w:top w:w="100" w:type="dxa"/>
              <w:bottom w:w="100" w:type="dxa"/>
              <w:left w:w="140" w:type="dxa"/>
              <w:right w:w="140" w:type="dxa"/>
            </w:tcMar>
          </w:tcPr>
          <w:p>
            <w:pPr>
              <w:jc w:val="left"/>
            </w:pPr>
            <w:r>
              <w:rPr>
                <w:rFonts w:ascii="Calibri" w:hAnsi="Calibri"/>
                <w:b w:val="0"/>
                <w:i w:val="0"/>
                <w:color w:val="222222"/>
                <w:sz w:val="18"/>
              </w:rPr>
              <w:t>next_lms_erp (Backend Laravel 12) &amp; lms_k12 (Frontend Next.js 16)</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Relational Database</w:t>
            </w:r>
          </w:p>
        </w:tc>
        <w:tc>
          <w:tcPr>
            <w:tcW w:type="dxa" w:w="6480"/>
            <w:tcMar>
              <w:top w:w="100" w:type="dxa"/>
              <w:bottom w:w="100" w:type="dxa"/>
              <w:left w:w="140" w:type="dxa"/>
              <w:right w:w="140" w:type="dxa"/>
            </w:tcMar>
          </w:tcPr>
          <w:p>
            <w:pPr>
              <w:jc w:val="left"/>
            </w:pPr>
            <w:r>
              <w:rPr>
                <w:rFonts w:ascii="Calibri" w:hAnsi="Calibri"/>
                <w:b w:val="0"/>
                <w:i w:val="0"/>
                <w:color w:val="222222"/>
                <w:sz w:val="18"/>
              </w:rPr>
              <w:t>MariaDB / MySQL: vivek_erp @ 202.47.117.220:3306</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Graph Database</w:t>
            </w:r>
          </w:p>
        </w:tc>
        <w:tc>
          <w:tcPr>
            <w:tcW w:type="dxa" w:w="6480"/>
            <w:tcMar>
              <w:top w:w="100" w:type="dxa"/>
              <w:bottom w:w="100" w:type="dxa"/>
              <w:left w:w="140" w:type="dxa"/>
              <w:right w:w="140" w:type="dxa"/>
            </w:tcMar>
          </w:tcPr>
          <w:p>
            <w:pPr>
              <w:jc w:val="left"/>
            </w:pPr>
            <w:r>
              <w:rPr>
                <w:rFonts w:ascii="Calibri" w:hAnsi="Calibri"/>
                <w:b w:val="0"/>
                <w:i w:val="0"/>
                <w:color w:val="222222"/>
                <w:sz w:val="18"/>
              </w:rPr>
              <w:t>Neo4j Enterprise: bolt://dev.triz.co.in:7688 (Browser: 7475)</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Operational Status</w:t>
            </w:r>
          </w:p>
        </w:tc>
        <w:tc>
          <w:tcPr>
            <w:tcW w:type="dxa" w:w="6480"/>
            <w:tcMar>
              <w:top w:w="100" w:type="dxa"/>
              <w:bottom w:w="100" w:type="dxa"/>
              <w:left w:w="140" w:type="dxa"/>
              <w:right w:w="140" w:type="dxa"/>
            </w:tcMar>
          </w:tcPr>
          <w:p>
            <w:pPr>
              <w:jc w:val="left"/>
            </w:pPr>
            <w:r>
              <w:rPr>
                <w:rFonts w:ascii="Calibri" w:hAnsi="Calibri"/>
                <w:b w:val="0"/>
                <w:i w:val="0"/>
                <w:color w:val="222222"/>
                <w:sz w:val="18"/>
              </w:rPr>
              <w:t>162 Database Triggers Active | 100% Outbox Drained (0 Pending)</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Fixes Reverified</w:t>
            </w:r>
          </w:p>
        </w:tc>
        <w:tc>
          <w:tcPr>
            <w:tcW w:type="dxa" w:w="6480"/>
            <w:tcMar>
              <w:top w:w="100" w:type="dxa"/>
              <w:bottom w:w="100" w:type="dxa"/>
              <w:left w:w="140" w:type="dxa"/>
              <w:right w:w="140" w:type="dxa"/>
            </w:tcMar>
          </w:tcPr>
          <w:p>
            <w:pPr>
              <w:jc w:val="left"/>
            </w:pPr>
            <w:r>
              <w:rPr>
                <w:rFonts w:ascii="Calibri" w:hAnsi="Calibri"/>
                <w:b w:val="0"/>
                <w:i w:val="0"/>
                <w:color w:val="222222"/>
                <w:sz w:val="18"/>
              </w:rPr>
              <w:t>Foundation Triggers, Queue Triage, Cypher Isolation, Dual-Key Protection</w:t>
            </w:r>
          </w:p>
        </w:tc>
      </w:tr>
      <w:tr>
        <w:tc>
          <w:tcPr>
            <w:tcW w:type="dxa" w:w="3600"/>
            <w:shd w:fill="F8FAFC"/>
            <w:tcMar>
              <w:top w:w="100" w:type="dxa"/>
              <w:bottom w:w="100" w:type="dxa"/>
              <w:left w:w="140" w:type="dxa"/>
              <w:right w:w="140" w:type="dxa"/>
            </w:tcMar>
          </w:tcPr>
          <w:p>
            <w:pPr>
              <w:jc w:val="left"/>
            </w:pPr>
            <w:r>
              <w:rPr>
                <w:rFonts w:ascii="Calibri" w:hAnsi="Calibri"/>
                <w:b/>
                <w:i w:val="0"/>
                <w:color w:val="222222"/>
                <w:sz w:val="18"/>
              </w:rPr>
              <w:t>Audit Boundary</w:t>
            </w:r>
          </w:p>
        </w:tc>
        <w:tc>
          <w:tcPr>
            <w:tcW w:type="dxa" w:w="6480"/>
            <w:tcMar>
              <w:top w:w="100" w:type="dxa"/>
              <w:bottom w:w="100" w:type="dxa"/>
              <w:left w:w="140" w:type="dxa"/>
              <w:right w:w="140" w:type="dxa"/>
            </w:tcMar>
          </w:tcPr>
          <w:p>
            <w:pPr>
              <w:jc w:val="left"/>
            </w:pPr>
            <w:r>
              <w:rPr>
                <w:rFonts w:ascii="Calibri" w:hAnsi="Calibri"/>
                <w:b w:val="0"/>
                <w:i w:val="0"/>
                <w:color w:val="222222"/>
                <w:sz w:val="18"/>
              </w:rPr>
              <w:t>Strictly Read-Only Verification (Zero Modifications Applied)</w:t>
            </w:r>
          </w:p>
        </w:tc>
      </w:tr>
    </w:tbl>
    <w:p>
      <w:r>
        <w:br w:type="page"/>
      </w:r>
    </w:p>
    <w:p>
      <w:pPr>
        <w:keepNext/>
        <w:spacing w:before="360" w:after="120"/>
      </w:pPr>
      <w:r>
        <w:rPr>
          <w:rFonts w:ascii="Calibri" w:hAnsi="Calibri"/>
          <w:b/>
          <w:color w:val="1B365D"/>
          <w:sz w:val="30"/>
        </w:rPr>
        <w:t>2. Executive Summary</w:t>
      </w:r>
    </w:p>
    <w:tbl>
      <w:tblPr>
        <w:tblW w:type="auto" w:w="0"/>
        <w:jc w:val="center"/>
        <w:tblLook w:firstColumn="1" w:firstRow="1" w:lastColumn="0" w:lastRow="0" w:noHBand="0" w:noVBand="1" w:val="04A0"/>
      </w:tblPr>
      <w:tblGrid>
        <w:gridCol w:w="9936"/>
      </w:tblGrid>
      <w:tr>
        <w:tc>
          <w:tcPr>
            <w:tcW w:type="dxa" w:w="9936"/>
            <w:shd w:fill="F0FDF4"/>
            <w:tcMar>
              <w:top w:w="130" w:type="dxa"/>
              <w:bottom w:w="130" w:type="dxa"/>
              <w:left w:w="180" w:type="dxa"/>
              <w:right w:w="160" w:type="dxa"/>
            </w:tcMar>
            <w:tcBorders>
              <w:left w:val="single" w:sz="24" w:space="0" w:color="22C55E"/>
              <w:top w:val="none"/>
              <w:right w:val="none"/>
              <w:bottom w:val="none"/>
            </w:tcBorders>
          </w:tcPr>
          <w:p>
            <w:pPr>
              <w:spacing w:before="40" w:after="40"/>
            </w:pPr>
            <w:r>
              <w:rPr>
                <w:rFonts w:ascii="Calibri" w:hAnsi="Calibri"/>
                <w:b/>
                <w:color w:val="166534"/>
                <w:sz w:val="19"/>
              </w:rPr>
              <w:t xml:space="preserve">[WHAT THIS DOCUMENT IS] </w:t>
            </w:r>
            <w:r>
              <w:rPr>
                <w:rFonts w:ascii="Calibri" w:hAnsi="Calibri"/>
                <w:color w:val="222222"/>
                <w:sz w:val="18"/>
              </w:rPr>
              <w:t>This document is a comprehensive, plain-English technical verification of the entire ERP SQL-to-Neo4j data synchronization engine. It verifies all bug fixes implemented up to October 29, 2026, audits every pipeline end-to-end, evaluates all seven ERP modules, and provides an authoritative breakdown of what is working, what was fixed, and what remains to be done.</w:t>
            </w:r>
          </w:p>
        </w:tc>
      </w:tr>
    </w:tbl>
    <w:p>
      <w:pPr>
        <w:spacing w:after="80"/>
      </w:pPr>
    </w:p>
    <w:p>
      <w:pPr>
        <w:spacing w:after="80" w:line="276" w:lineRule="auto"/>
      </w:pPr>
      <w:r>
        <w:rPr>
          <w:rFonts w:ascii="Calibri" w:hAnsi="Calibri"/>
          <w:color w:val="222222"/>
          <w:sz w:val="19"/>
        </w:rPr>
        <w:t>The ERP system operates on a dual-database polyglot persistence architecture. MySQL (vivek_erp) serves as the primary system of record for all school transactions, student admissions, attendance, fees, exams, and staff records. Neo4j serves as the specialized Knowledge Graph read-model, powering curriculum prerequisite spines, student concept mastery, question tagging, and personalized adaptive learning (PAL).</w:t>
      </w:r>
    </w:p>
    <w:p>
      <w:pPr>
        <w:keepNext/>
        <w:spacing w:before="240" w:after="80"/>
      </w:pPr>
      <w:r>
        <w:rPr>
          <w:rFonts w:ascii="Calibri" w:hAnsi="Calibri"/>
          <w:b/>
          <w:color w:val="4B6B94"/>
          <w:sz w:val="24"/>
        </w:rPr>
        <w:t>Key Reverification Highlights &amp; Confirmation of Solved Problems:</w:t>
      </w:r>
    </w:p>
    <w:p>
      <w:pPr>
        <w:spacing w:after="80" w:line="276" w:lineRule="auto"/>
      </w:pPr>
      <w:r>
        <w:rPr>
          <w:rFonts w:ascii="Calibri" w:hAnsi="Calibri"/>
          <w:color w:val="222222"/>
          <w:sz w:val="19"/>
        </w:rPr>
        <w:t>1. Foundation Master Triggers Successfully Activated: Previously, four foundational Institute ERP tables (division, academic_year, hrms_departments, school_setup) lacked live database triggers, meaning any new class division or academic year created in SQL never moved to Neo4j. The user created migrations (2026_10_29_100000 through 100300) attaching 12 live triggers (INSERT, UPDATE, DELETE). Live database inspection confirms all 12 triggers are active in MySQL and recognized by ProjectionRegistry with zero gaps.</w:t>
      </w:r>
    </w:p>
    <w:p>
      <w:pPr>
        <w:spacing w:after="80" w:line="276" w:lineRule="auto"/>
      </w:pPr>
      <w:r>
        <w:rPr>
          <w:rFonts w:ascii="Calibri" w:hAnsi="Calibri"/>
          <w:color w:val="222222"/>
          <w:sz w:val="19"/>
        </w:rPr>
        <w:t>2. Permanent Unrecoverable Queue Backlog Triaged: Out of 29,185 permanently failed rows in neo4j_sync_queue, 11,363 rows (38.9%) belong to Chapter -[HAS_CONTENT]-&gt; TeachingResource. Investigation proved these failed because historical chapter renumbering orphaned legacy content items. FailedQueueTriageCommand has been updated with an UNRECOVERABLE blacklist, stopping these rows from endlessly retrying and wasting queue worker resources.</w:t>
      </w:r>
    </w:p>
    <w:p>
      <w:pPr>
        <w:spacing w:after="80" w:line="276" w:lineRule="auto"/>
      </w:pPr>
      <w:r>
        <w:rPr>
          <w:rFonts w:ascii="Calibri" w:hAnsi="Calibri"/>
          <w:color w:val="222222"/>
          <w:sz w:val="19"/>
        </w:rPr>
        <w:t>3. Multi-Tenant Cypher Isolation Restored: Critical security and data-integrity defects were verified fixed across batch Cypher scripts (30_result.cypher, 50_operations.cypher, 60_finance.cypher, 70_skills.cypher). Queries that previously omitted sub_institute_id (causing 100% of student fee liability edges to attach to whichever school happened to have that ID) now enforce strict tenant matching on both sides.</w:t>
      </w:r>
    </w:p>
    <w:p>
      <w:pPr>
        <w:spacing w:after="80" w:line="276" w:lineRule="auto"/>
      </w:pPr>
      <w:r>
        <w:rPr>
          <w:rFonts w:ascii="Calibri" w:hAnsi="Calibri"/>
          <w:color w:val="222222"/>
          <w:sz w:val="19"/>
        </w:rPr>
        <w:t>4. Dual-Key Node Duplication Guard Enforced: LoadCommand.php has been equipped with a hard guard blocking standard, lms_lesson_plan, and sub_std_map from batch loading. This prevents the recurrence of a severe defect where nodes were created under both native IDs and composite UIDs, which had previously doubled node counts.</w:t>
      </w:r>
    </w:p>
    <w:p>
      <w:pPr>
        <w:spacing w:after="80" w:line="276" w:lineRule="auto"/>
      </w:pPr>
      <w:r>
        <w:rPr>
          <w:rFonts w:ascii="Calibri" w:hAnsi="Calibri"/>
          <w:color w:val="222222"/>
          <w:sz w:val="19"/>
        </w:rPr>
        <w:t>5. Zero-Pending Outbox Health: Live measurement confirms sync_log has 740,613 processed records at 100% SUCCESS and 0 PENDING. The relationship queue (neo4j_sync_queue) has 756,647 completed edges and 0 pending.</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312"/>
        <w:gridCol w:w="3312"/>
        <w:gridCol w:w="3312"/>
      </w:tblGrid>
      <w:tr>
        <w:tc>
          <w:tcPr>
            <w:tcW w:type="dxa" w:w="3600"/>
            <w:shd w:fill="1B365D"/>
            <w:tcMar>
              <w:top w:w="140" w:type="dxa"/>
              <w:bottom w:w="140" w:type="dxa"/>
              <w:left w:w="150" w:type="dxa"/>
              <w:right w:w="150" w:type="dxa"/>
            </w:tcMar>
          </w:tcPr>
          <w:p>
            <w:pPr>
              <w:jc w:val="left"/>
            </w:pPr>
            <w:r>
              <w:rPr>
                <w:rFonts w:ascii="Calibri" w:hAnsi="Calibri"/>
                <w:b/>
                <w:color w:val="FFFFFF"/>
                <w:sz w:val="19"/>
              </w:rPr>
              <w:t>Metric / Component</w:t>
            </w:r>
          </w:p>
        </w:tc>
        <w:tc>
          <w:tcPr>
            <w:tcW w:type="dxa" w:w="2880"/>
            <w:shd w:fill="1B365D"/>
            <w:tcMar>
              <w:top w:w="140" w:type="dxa"/>
              <w:bottom w:w="140" w:type="dxa"/>
              <w:left w:w="150" w:type="dxa"/>
              <w:right w:w="150" w:type="dxa"/>
            </w:tcMar>
          </w:tcPr>
          <w:p>
            <w:pPr>
              <w:jc w:val="left"/>
            </w:pPr>
            <w:r>
              <w:rPr>
                <w:rFonts w:ascii="Calibri" w:hAnsi="Calibri"/>
                <w:b/>
                <w:color w:val="FFFFFF"/>
                <w:sz w:val="19"/>
              </w:rPr>
              <w:t>Measured Value</w:t>
            </w:r>
          </w:p>
        </w:tc>
        <w:tc>
          <w:tcPr>
            <w:tcW w:type="dxa" w:w="3600"/>
            <w:shd w:fill="1B365D"/>
            <w:tcMar>
              <w:top w:w="140" w:type="dxa"/>
              <w:bottom w:w="140" w:type="dxa"/>
              <w:left w:w="150" w:type="dxa"/>
              <w:right w:w="150" w:type="dxa"/>
            </w:tcMar>
          </w:tcPr>
          <w:p>
            <w:pPr>
              <w:jc w:val="left"/>
            </w:pPr>
            <w:r>
              <w:rPr>
                <w:rFonts w:ascii="Calibri" w:hAnsi="Calibri"/>
                <w:b/>
                <w:color w:val="FFFFFF"/>
                <w:sz w:val="19"/>
              </w:rPr>
              <w:t>Operational Meaning in Plain English</w:t>
            </w:r>
          </w:p>
        </w:tc>
      </w:tr>
      <w:tr>
        <w:tc>
          <w:tcPr>
            <w:tcW w:type="dxa" w:w="3312"/>
            <w:shd w:fill="F1F5F9"/>
            <w:tcMar>
              <w:top w:w="100" w:type="dxa"/>
              <w:bottom w:w="100" w:type="dxa"/>
              <w:left w:w="140" w:type="dxa"/>
              <w:right w:w="140" w:type="dxa"/>
            </w:tcMar>
          </w:tcPr>
          <w:p>
            <w:pPr>
              <w:jc w:val="left"/>
            </w:pPr>
            <w:r>
              <w:rPr>
                <w:rFonts w:ascii="Calibri" w:hAnsi="Calibri"/>
                <w:b/>
                <w:i w:val="0"/>
                <w:color w:val="222222"/>
                <w:sz w:val="18"/>
              </w:rPr>
              <w:t>Live Database Triggers</w:t>
            </w:r>
          </w:p>
        </w:tc>
        <w:tc>
          <w:tcPr>
            <w:tcW w:type="dxa" w:w="3312"/>
            <w:shd w:fill="F1F5F9"/>
            <w:tcMar>
              <w:top w:w="100" w:type="dxa"/>
              <w:bottom w:w="100" w:type="dxa"/>
              <w:left w:w="140" w:type="dxa"/>
              <w:right w:w="140" w:type="dxa"/>
            </w:tcMar>
          </w:tcPr>
          <w:p>
            <w:pPr>
              <w:jc w:val="left"/>
            </w:pPr>
            <w:r>
              <w:rPr>
                <w:rFonts w:ascii="Calibri" w:hAnsi="Calibri"/>
                <w:b w:val="0"/>
                <w:i w:val="0"/>
                <w:color w:val="222222"/>
                <w:sz w:val="18"/>
              </w:rPr>
              <w:t>162 triggers across 54 tables</w:t>
            </w:r>
          </w:p>
        </w:tc>
        <w:tc>
          <w:tcPr>
            <w:tcW w:type="dxa" w:w="3312"/>
            <w:shd w:fill="F1F5F9"/>
            <w:tcMar>
              <w:top w:w="100" w:type="dxa"/>
              <w:bottom w:w="100" w:type="dxa"/>
              <w:left w:w="140" w:type="dxa"/>
              <w:right w:w="140" w:type="dxa"/>
            </w:tcMar>
          </w:tcPr>
          <w:p>
            <w:pPr>
              <w:jc w:val="left"/>
            </w:pPr>
            <w:r>
              <w:rPr>
                <w:rFonts w:ascii="Calibri" w:hAnsi="Calibri"/>
                <w:b w:val="0"/>
                <w:i w:val="0"/>
                <w:color w:val="222222"/>
                <w:sz w:val="18"/>
              </w:rPr>
              <w:t>Every change to an ERP table is automatically caught at the database level.</w:t>
            </w:r>
          </w:p>
        </w:tc>
      </w:tr>
      <w:tr>
        <w:tc>
          <w:tcPr>
            <w:tcW w:type="dxa" w:w="3312"/>
            <w:shd w:fill="FFFFFF"/>
            <w:tcMar>
              <w:top w:w="100" w:type="dxa"/>
              <w:bottom w:w="100" w:type="dxa"/>
              <w:left w:w="140" w:type="dxa"/>
              <w:right w:w="140" w:type="dxa"/>
            </w:tcMar>
          </w:tcPr>
          <w:p>
            <w:pPr>
              <w:jc w:val="left"/>
            </w:pPr>
            <w:r>
              <w:rPr>
                <w:rFonts w:ascii="Calibri" w:hAnsi="Calibri"/>
                <w:b/>
                <w:i w:val="0"/>
                <w:color w:val="222222"/>
                <w:sz w:val="18"/>
              </w:rPr>
              <w:t>Node Sync Outbox (sync_log)</w:t>
            </w:r>
          </w:p>
        </w:tc>
        <w:tc>
          <w:tcPr>
            <w:tcW w:type="dxa" w:w="3312"/>
            <w:shd w:fill="FFFFFF"/>
            <w:tcMar>
              <w:top w:w="100" w:type="dxa"/>
              <w:bottom w:w="100" w:type="dxa"/>
              <w:left w:w="140" w:type="dxa"/>
              <w:right w:w="140" w:type="dxa"/>
            </w:tcMar>
          </w:tcPr>
          <w:p>
            <w:pPr>
              <w:jc w:val="left"/>
            </w:pPr>
            <w:r>
              <w:rPr>
                <w:rFonts w:ascii="Calibri" w:hAnsi="Calibri"/>
                <w:b w:val="0"/>
                <w:i w:val="0"/>
                <w:color w:val="222222"/>
                <w:sz w:val="18"/>
              </w:rPr>
              <w:t>740,613 SUCCESS | 0 PENDING</w:t>
            </w:r>
          </w:p>
        </w:tc>
        <w:tc>
          <w:tcPr>
            <w:tcW w:type="dxa" w:w="3312"/>
            <w:shd w:fill="FFFFFF"/>
            <w:tcMar>
              <w:top w:w="100" w:type="dxa"/>
              <w:bottom w:w="100" w:type="dxa"/>
              <w:left w:w="140" w:type="dxa"/>
              <w:right w:w="140" w:type="dxa"/>
            </w:tcMar>
          </w:tcPr>
          <w:p>
            <w:pPr>
              <w:jc w:val="left"/>
            </w:pPr>
            <w:r>
              <w:rPr>
                <w:rFonts w:ascii="Calibri" w:hAnsi="Calibri"/>
                <w:b w:val="0"/>
                <w:i w:val="0"/>
                <w:color w:val="222222"/>
                <w:sz w:val="18"/>
              </w:rPr>
              <w:t>All entity nodes have been processed into Neo4j; no queue backlog.</w:t>
            </w:r>
          </w:p>
        </w:tc>
      </w:tr>
      <w:tr>
        <w:tc>
          <w:tcPr>
            <w:tcW w:type="dxa" w:w="3312"/>
            <w:shd w:fill="F1F5F9"/>
            <w:tcMar>
              <w:top w:w="100" w:type="dxa"/>
              <w:bottom w:w="100" w:type="dxa"/>
              <w:left w:w="140" w:type="dxa"/>
              <w:right w:w="140" w:type="dxa"/>
            </w:tcMar>
          </w:tcPr>
          <w:p>
            <w:pPr>
              <w:jc w:val="left"/>
            </w:pPr>
            <w:r>
              <w:rPr>
                <w:rFonts w:ascii="Calibri" w:hAnsi="Calibri"/>
                <w:b/>
                <w:i w:val="0"/>
                <w:color w:val="222222"/>
                <w:sz w:val="18"/>
              </w:rPr>
              <w:t>Relationship Queue (neo4j_sync_queue)</w:t>
            </w:r>
          </w:p>
        </w:tc>
        <w:tc>
          <w:tcPr>
            <w:tcW w:type="dxa" w:w="3312"/>
            <w:shd w:fill="F1F5F9"/>
            <w:tcMar>
              <w:top w:w="100" w:type="dxa"/>
              <w:bottom w:w="100" w:type="dxa"/>
              <w:left w:w="140" w:type="dxa"/>
              <w:right w:w="140" w:type="dxa"/>
            </w:tcMar>
          </w:tcPr>
          <w:p>
            <w:pPr>
              <w:jc w:val="left"/>
            </w:pPr>
            <w:r>
              <w:rPr>
                <w:rFonts w:ascii="Calibri" w:hAnsi="Calibri"/>
                <w:b w:val="0"/>
                <w:i w:val="0"/>
                <w:color w:val="222222"/>
                <w:sz w:val="18"/>
              </w:rPr>
              <w:t>756,647 done | 0 pending</w:t>
            </w:r>
          </w:p>
        </w:tc>
        <w:tc>
          <w:tcPr>
            <w:tcW w:type="dxa" w:w="3312"/>
            <w:shd w:fill="F1F5F9"/>
            <w:tcMar>
              <w:top w:w="100" w:type="dxa"/>
              <w:bottom w:w="100" w:type="dxa"/>
              <w:left w:w="140" w:type="dxa"/>
              <w:right w:w="140" w:type="dxa"/>
            </w:tcMar>
          </w:tcPr>
          <w:p>
            <w:pPr>
              <w:jc w:val="left"/>
            </w:pPr>
            <w:r>
              <w:rPr>
                <w:rFonts w:ascii="Calibri" w:hAnsi="Calibri"/>
                <w:b w:val="0"/>
                <w:i w:val="0"/>
                <w:color w:val="222222"/>
                <w:sz w:val="18"/>
              </w:rPr>
              <w:t>Relationships are actively processed; queue is completely drained.</w:t>
            </w:r>
          </w:p>
        </w:tc>
      </w:tr>
      <w:tr>
        <w:tc>
          <w:tcPr>
            <w:tcW w:type="dxa" w:w="3312"/>
            <w:shd w:fill="FFFFFF"/>
            <w:tcMar>
              <w:top w:w="100" w:type="dxa"/>
              <w:bottom w:w="100" w:type="dxa"/>
              <w:left w:w="140" w:type="dxa"/>
              <w:right w:w="140" w:type="dxa"/>
            </w:tcMar>
          </w:tcPr>
          <w:p>
            <w:pPr>
              <w:jc w:val="left"/>
            </w:pPr>
            <w:r>
              <w:rPr>
                <w:rFonts w:ascii="Calibri" w:hAnsi="Calibri"/>
                <w:b/>
                <w:i w:val="0"/>
                <w:color w:val="222222"/>
                <w:sz w:val="18"/>
              </w:rPr>
              <w:t>Failed Relationship Backlog</w:t>
            </w:r>
          </w:p>
        </w:tc>
        <w:tc>
          <w:tcPr>
            <w:tcW w:type="dxa" w:w="3312"/>
            <w:shd w:fill="FFFFFF"/>
            <w:tcMar>
              <w:top w:w="100" w:type="dxa"/>
              <w:bottom w:w="100" w:type="dxa"/>
              <w:left w:w="140" w:type="dxa"/>
              <w:right w:w="140" w:type="dxa"/>
            </w:tcMar>
          </w:tcPr>
          <w:p>
            <w:pPr>
              <w:jc w:val="left"/>
            </w:pPr>
            <w:r>
              <w:rPr>
                <w:rFonts w:ascii="Calibri" w:hAnsi="Calibri"/>
                <w:b w:val="0"/>
                <w:i w:val="0"/>
                <w:color w:val="222222"/>
                <w:sz w:val="18"/>
              </w:rPr>
              <w:t>29,185 failed (3.7% of total)</w:t>
            </w:r>
          </w:p>
        </w:tc>
        <w:tc>
          <w:tcPr>
            <w:tcW w:type="dxa" w:w="3312"/>
            <w:shd w:fill="FFFFFF"/>
            <w:tcMar>
              <w:top w:w="100" w:type="dxa"/>
              <w:bottom w:w="100" w:type="dxa"/>
              <w:left w:w="140" w:type="dxa"/>
              <w:right w:w="140" w:type="dxa"/>
            </w:tcMar>
          </w:tcPr>
          <w:p>
            <w:pPr>
              <w:jc w:val="left"/>
            </w:pPr>
            <w:r>
              <w:rPr>
                <w:rFonts w:ascii="Calibri" w:hAnsi="Calibri"/>
                <w:b w:val="0"/>
                <w:i w:val="0"/>
                <w:color w:val="222222"/>
                <w:sz w:val="18"/>
              </w:rPr>
              <w:t>11,363 triaged as unrecoverable legacy chapters; 17,822 upstream SQL orphans.</w:t>
            </w:r>
          </w:p>
        </w:tc>
      </w:tr>
      <w:tr>
        <w:tc>
          <w:tcPr>
            <w:tcW w:type="dxa" w:w="3312"/>
            <w:shd w:fill="F1F5F9"/>
            <w:tcMar>
              <w:top w:w="100" w:type="dxa"/>
              <w:bottom w:w="100" w:type="dxa"/>
              <w:left w:w="140" w:type="dxa"/>
              <w:right w:w="140" w:type="dxa"/>
            </w:tcMar>
          </w:tcPr>
          <w:p>
            <w:pPr>
              <w:jc w:val="left"/>
            </w:pPr>
            <w:r>
              <w:rPr>
                <w:rFonts w:ascii="Calibri" w:hAnsi="Calibri"/>
                <w:b/>
                <w:i w:val="0"/>
                <w:color w:val="222222"/>
                <w:sz w:val="18"/>
              </w:rPr>
              <w:t>Neo4j Live Database Size</w:t>
            </w:r>
          </w:p>
        </w:tc>
        <w:tc>
          <w:tcPr>
            <w:tcW w:type="dxa" w:w="3312"/>
            <w:shd w:fill="F1F5F9"/>
            <w:tcMar>
              <w:top w:w="100" w:type="dxa"/>
              <w:bottom w:w="100" w:type="dxa"/>
              <w:left w:w="140" w:type="dxa"/>
              <w:right w:w="140" w:type="dxa"/>
            </w:tcMar>
          </w:tcPr>
          <w:p>
            <w:pPr>
              <w:jc w:val="left"/>
            </w:pPr>
            <w:r>
              <w:rPr>
                <w:rFonts w:ascii="Calibri" w:hAnsi="Calibri"/>
                <w:b w:val="0"/>
                <w:i w:val="0"/>
                <w:color w:val="222222"/>
                <w:sz w:val="18"/>
              </w:rPr>
              <w:t>990,289 nodes | 2.95M relationships</w:t>
            </w:r>
          </w:p>
        </w:tc>
        <w:tc>
          <w:tcPr>
            <w:tcW w:type="dxa" w:w="3312"/>
            <w:shd w:fill="F1F5F9"/>
            <w:tcMar>
              <w:top w:w="100" w:type="dxa"/>
              <w:bottom w:w="100" w:type="dxa"/>
              <w:left w:w="140" w:type="dxa"/>
              <w:right w:w="140" w:type="dxa"/>
            </w:tcMar>
          </w:tcPr>
          <w:p>
            <w:pPr>
              <w:jc w:val="left"/>
            </w:pPr>
            <w:r>
              <w:rPr>
                <w:rFonts w:ascii="Calibri" w:hAnsi="Calibri"/>
                <w:b w:val="0"/>
                <w:i w:val="0"/>
                <w:color w:val="222222"/>
                <w:sz w:val="18"/>
              </w:rPr>
              <w:t>Comfortably within operational budget ceilings (1.5M nodes / 4M relationships).</w:t>
            </w:r>
          </w:p>
        </w:tc>
      </w:tr>
    </w:tbl>
    <w:p>
      <w:pPr>
        <w:spacing w:after="120"/>
      </w:pPr>
    </w:p>
    <w:p>
      <w:pPr>
        <w:keepNext/>
        <w:spacing w:before="360" w:after="120"/>
      </w:pPr>
      <w:r>
        <w:rPr>
          <w:rFonts w:ascii="Calibri" w:hAnsi="Calibri"/>
          <w:b/>
          <w:color w:val="1B365D"/>
          <w:sz w:val="30"/>
        </w:rPr>
        <w:t>3. Audit Scope and Safety Limitations</w:t>
      </w:r>
    </w:p>
    <w:p>
      <w:pPr>
        <w:spacing w:after="80" w:line="276" w:lineRule="auto"/>
      </w:pPr>
      <w:r>
        <w:rPr>
          <w:rFonts w:ascii="Calibri" w:hAnsi="Calibri"/>
          <w:color w:val="222222"/>
          <w:sz w:val="19"/>
        </w:rPr>
        <w:t>The audit was executed under rigorous read-only constraints to ensure complete system safety:</w:t>
      </w:r>
    </w:p>
    <w:p>
      <w:pPr>
        <w:spacing w:after="80" w:line="276" w:lineRule="auto"/>
      </w:pPr>
      <w:r>
        <w:rPr>
          <w:rFonts w:ascii="Calibri" w:hAnsi="Calibri"/>
          <w:color w:val="222222"/>
          <w:sz w:val="19"/>
        </w:rPr>
        <w:t>• Read-Only Rule Compliance: No SQL or Neo4j records were added, updated, deleted, or truncated. No migrations, seeds, or repairs were executed.</w:t>
      </w:r>
    </w:p>
    <w:p>
      <w:pPr>
        <w:spacing w:after="80" w:line="276" w:lineRule="auto"/>
      </w:pPr>
      <w:r>
        <w:rPr>
          <w:rFonts w:ascii="Calibri" w:hAnsi="Calibri"/>
          <w:color w:val="222222"/>
          <w:sz w:val="19"/>
        </w:rPr>
        <w:t>• Safe Inspection Tools: Data verification relied strictly on read-only artisan commands (neo4j:completeness, neo4j:verify --skip-counts, neo4j:failed-queue, neo4j:drain --status) and direct SELECT queries against information_schema and status tables.</w:t>
      </w:r>
    </w:p>
    <w:p>
      <w:pPr>
        <w:spacing w:after="80" w:line="276" w:lineRule="auto"/>
      </w:pPr>
      <w:r>
        <w:rPr>
          <w:rFonts w:ascii="Calibri" w:hAnsi="Calibri"/>
          <w:color w:val="222222"/>
          <w:sz w:val="19"/>
        </w:rPr>
        <w:t>• Credential Protection: In compliance with security directives, all passwords, bearer tokens, and secrets were kept strictly out of all generated reports and code outputs.</w:t>
      </w:r>
    </w:p>
    <w:p>
      <w:pPr>
        <w:spacing w:after="80" w:line="276" w:lineRule="auto"/>
      </w:pPr>
      <w:r>
        <w:rPr>
          <w:rFonts w:ascii="Calibri" w:hAnsi="Calibri"/>
          <w:color w:val="222222"/>
          <w:sz w:val="19"/>
        </w:rPr>
        <w:t>• Dual-Repository Coverage: Tracing spanned both next_lms_erp (PHP Laravel 12) and lms_k12 (TypeScript Next.js 16).</w:t>
      </w:r>
    </w:p>
    <w:p>
      <w:pPr>
        <w:keepNext/>
        <w:spacing w:before="360" w:after="120"/>
      </w:pPr>
      <w:r>
        <w:rPr>
          <w:rFonts w:ascii="Calibri" w:hAnsi="Calibri"/>
          <w:b/>
          <w:color w:val="1B365D"/>
          <w:sz w:val="30"/>
        </w:rPr>
        <w:t>4. Existing System Architecture</w:t>
      </w:r>
    </w:p>
    <w:p>
      <w:pPr>
        <w:spacing w:after="80" w:line="276" w:lineRule="auto"/>
      </w:pPr>
      <w:r>
        <w:rPr>
          <w:rFonts w:ascii="Calibri" w:hAnsi="Calibri"/>
          <w:color w:val="222222"/>
          <w:sz w:val="19"/>
        </w:rPr>
        <w:t>The ERP platform follows a modern decoupled polyglot persistence architecture:</w:t>
      </w:r>
    </w:p>
    <w:p>
      <w:pPr>
        <w:spacing w:after="80" w:line="276" w:lineRule="auto"/>
      </w:pPr>
      <w:r>
        <w:rPr>
          <w:rFonts w:ascii="Calibri" w:hAnsi="Calibri"/>
          <w:color w:val="222222"/>
          <w:sz w:val="19"/>
        </w:rPr>
        <w:t>1. MySQL/MariaDB (vivek_erp): The authoritative relational system of record (L7). All financial ledgers, admissions, user identities, exam marks, and academic masters originate here under ACID transactions.</w:t>
      </w:r>
    </w:p>
    <w:p>
      <w:pPr>
        <w:spacing w:after="80" w:line="276" w:lineRule="auto"/>
      </w:pPr>
      <w:r>
        <w:rPr>
          <w:rFonts w:ascii="Calibri" w:hAnsi="Calibri"/>
          <w:color w:val="222222"/>
          <w:sz w:val="19"/>
        </w:rPr>
        <w:t>2. Neo4j Graph (bolt://dev.triz.co.in:7688): A derived semantic read-model. It models entities as nodes and relationships as first-class edges, enabling high-performance graph traversals (such as 'find all prerequisite concepts a student hasn't mastered before taking this quiz').</w:t>
      </w:r>
    </w:p>
    <w:p>
      <w:pPr>
        <w:spacing w:after="80" w:line="276" w:lineRule="auto"/>
      </w:pPr>
      <w:r>
        <w:rPr>
          <w:rFonts w:ascii="Calibri" w:hAnsi="Calibri"/>
          <w:color w:val="222222"/>
          <w:sz w:val="19"/>
        </w:rPr>
        <w:t>3. Next.js Frontend (lms_k12): A pure API client. As confirmed in C:\lms_k12\.env.example, the frontend maintains no Neo4j driver and no database connection of its own. It interacts solely with Laravel REST API endpoints.</w:t>
      </w:r>
    </w:p>
    <w:p>
      <w:pPr>
        <w:spacing w:after="80" w:line="276" w:lineRule="auto"/>
      </w:pPr>
      <w:r>
        <w:rPr>
          <w:rFonts w:ascii="Calibri" w:hAnsi="Calibri"/>
          <w:color w:val="222222"/>
          <w:sz w:val="19"/>
        </w:rPr>
        <w:t>4. Keying Convention Resolution: In the past, batch CSV imports used composite UIDs (Label:tenant:syear:pk), whereas live sync used native integer IDs (e.g. conceptId). The system is unified around native integer keys for all live projections, with composite UIDs retained only on legacy batch nodes.</w:t>
      </w:r>
    </w:p>
    <w:p>
      <w:pPr>
        <w:keepNext/>
        <w:spacing w:before="360" w:after="120"/>
      </w:pPr>
      <w:r>
        <w:rPr>
          <w:rFonts w:ascii="Calibri" w:hAnsi="Calibri"/>
          <w:b/>
          <w:color w:val="1B365D"/>
          <w:sz w:val="30"/>
        </w:rPr>
        <w:t>5. SQL Database Overview (vivek_erp)</w:t>
      </w:r>
    </w:p>
    <w:p>
      <w:pPr>
        <w:spacing w:after="80" w:line="276" w:lineRule="auto"/>
      </w:pPr>
      <w:r>
        <w:rPr>
          <w:rFonts w:ascii="Calibri" w:hAnsi="Calibri"/>
          <w:color w:val="222222"/>
          <w:sz w:val="19"/>
        </w:rPr>
        <w:t>The MySQL database vivek_erp comprises 488 total tables. Synchronization infrastructure is centered around two core outbox tables:</w:t>
      </w:r>
    </w:p>
    <w:p>
      <w:pPr>
        <w:spacing w:after="80" w:line="276" w:lineRule="auto"/>
      </w:pPr>
      <w:r>
        <w:rPr>
          <w:rFonts w:ascii="Calibri" w:hAnsi="Calibri"/>
          <w:color w:val="222222"/>
          <w:sz w:val="19"/>
        </w:rPr>
        <w:t>• sync_log (Node Outbox): Contains table_name, operation_type (INSERT/UPDATE/DELETE), record_id, payload_json, status, and retry_count. When an ERP row changes, its trigger writes a thin envelope into sync_log inside the same transaction.</w:t>
      </w:r>
    </w:p>
    <w:p>
      <w:pPr>
        <w:spacing w:after="80" w:line="276" w:lineRule="auto"/>
      </w:pPr>
      <w:r>
        <w:rPr>
          <w:rFonts w:ascii="Calibri" w:hAnsi="Calibri"/>
          <w:color w:val="222222"/>
          <w:sz w:val="19"/>
        </w:rPr>
        <w:t>• neo4j_sync_queue (Relationship Outbox): Contains source_table, source_id, target_table, new_target_id, old_target_id, rel_type, status, and retry_count. Manages relationship assembly after node endpoints are confirmed.</w:t>
      </w:r>
    </w:p>
    <w:p>
      <w:pPr>
        <w:spacing w:after="80" w:line="276" w:lineRule="auto"/>
      </w:pPr>
      <w:r>
        <w:rPr>
          <w:rFonts w:ascii="Calibri" w:hAnsi="Calibri"/>
          <w:color w:val="222222"/>
          <w:sz w:val="19"/>
        </w:rPr>
        <w:t>• Trigger Coverage: Exactly 162 triggers are installed across 54 business tables (each table has AFTER INSERT, AFTER UPDATE, and AFTER DELETE).</w:t>
      </w:r>
    </w:p>
    <w:p>
      <w:pPr>
        <w:keepNext/>
        <w:spacing w:before="360" w:after="120"/>
      </w:pPr>
      <w:r>
        <w:rPr>
          <w:rFonts w:ascii="Calibri" w:hAnsi="Calibri"/>
          <w:b/>
          <w:color w:val="1B365D"/>
          <w:sz w:val="30"/>
        </w:rPr>
        <w:t>6. Neo4j Graph Overview</w:t>
      </w:r>
    </w:p>
    <w:p>
      <w:pPr>
        <w:spacing w:after="80" w:line="276" w:lineRule="auto"/>
      </w:pPr>
      <w:r>
        <w:rPr>
          <w:rFonts w:ascii="Calibri" w:hAnsi="Calibri"/>
          <w:color w:val="222222"/>
          <w:sz w:val="19"/>
        </w:rPr>
        <w:t>The live graph at bolt://dev.triz.co.in:7688 represents an enterprise multi-tenant school network:</w:t>
      </w:r>
    </w:p>
    <w:p>
      <w:pPr>
        <w:spacing w:after="80" w:line="276" w:lineRule="auto"/>
      </w:pPr>
      <w:r>
        <w:rPr>
          <w:rFonts w:ascii="Calibri" w:hAnsi="Calibri"/>
          <w:color w:val="222222"/>
          <w:sz w:val="19"/>
        </w:rPr>
        <w:t>• Scale: 990,289 nodes and 2,957,858 relationships (safely within the 1.5M node and 4.0M relationship operational budgets).</w:t>
      </w:r>
    </w:p>
    <w:p>
      <w:pPr>
        <w:spacing w:after="80" w:line="276" w:lineRule="auto"/>
      </w:pPr>
      <w:r>
        <w:rPr>
          <w:rFonts w:ascii="Calibri" w:hAnsi="Calibri"/>
          <w:color w:val="222222"/>
          <w:sz w:val="19"/>
        </w:rPr>
        <w:t>• Core Node Labels: StuDetail (4,609 person-level nodes), Student (277,578 enrollment-level nodes across years), Result (149,051 exam result nodes), Question (96,884 question bank nodes), TeachingResource (32,215 content items), Concept (8,014 curriculum concepts), Examination (36,049 exam schedules), Assessment (5,434 question papers), Staff &amp; Teacher (5,516 user nodes).</w:t>
      </w:r>
    </w:p>
    <w:p>
      <w:pPr>
        <w:spacing w:after="80" w:line="276" w:lineRule="auto"/>
      </w:pPr>
      <w:r>
        <w:rPr>
          <w:rFonts w:ascii="Calibri" w:hAnsi="Calibri"/>
          <w:color w:val="222222"/>
          <w:sz w:val="19"/>
        </w:rPr>
        <w:t>• Core Relationship Types: HAS_RESULT (501,000+ edges), BELONGS_TO (86,000+ edges), ASSESSES (36,500+ edges), HAS_CONCEPT (8,182 edges), REQUIRES (7,565 concept prerequisite edges), CROSS_LINKS (633 inter-disciplinary edges), ENROLLED_IN, OF_INSTITUTE.</w:t>
      </w:r>
    </w:p>
    <w:p>
      <w:pPr>
        <w:keepNext/>
        <w:spacing w:before="360" w:after="120"/>
      </w:pPr>
      <w:r>
        <w:rPr>
          <w:rFonts w:ascii="Calibri" w:hAnsi="Calibri"/>
          <w:b/>
          <w:color w:val="1B365D"/>
          <w:sz w:val="30"/>
        </w:rPr>
        <w:t>7. Complete Synchronization Pipeline Inventory</w:t>
      </w:r>
    </w:p>
    <w:p>
      <w:pPr>
        <w:spacing w:after="80" w:line="276" w:lineRule="auto"/>
      </w:pPr>
      <w:r>
        <w:rPr>
          <w:rFonts w:ascii="Calibri" w:hAnsi="Calibri"/>
          <w:color w:val="222222"/>
          <w:sz w:val="19"/>
        </w:rPr>
        <w:t>The audit identified and documented five distinct synchronization pipelines operating across the platform:</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B365D"/>
            <w:tcMar>
              <w:top w:w="140" w:type="dxa"/>
              <w:bottom w:w="140" w:type="dxa"/>
              <w:left w:w="150" w:type="dxa"/>
              <w:right w:w="150" w:type="dxa"/>
            </w:tcMar>
          </w:tcPr>
          <w:p>
            <w:pPr>
              <w:jc w:val="left"/>
            </w:pPr>
            <w:r>
              <w:rPr>
                <w:rFonts w:ascii="Calibri" w:hAnsi="Calibri"/>
                <w:b/>
                <w:color w:val="FFFFFF"/>
                <w:sz w:val="19"/>
              </w:rPr>
              <w:t>Pipeline Name</w:t>
            </w:r>
          </w:p>
        </w:tc>
        <w:tc>
          <w:tcPr>
            <w:tcW w:type="dxa" w:w="1987"/>
            <w:shd w:fill="1B365D"/>
            <w:tcMar>
              <w:top w:w="140" w:type="dxa"/>
              <w:bottom w:w="140" w:type="dxa"/>
              <w:left w:w="150" w:type="dxa"/>
              <w:right w:w="150" w:type="dxa"/>
            </w:tcMar>
          </w:tcPr>
          <w:p>
            <w:pPr>
              <w:jc w:val="left"/>
            </w:pPr>
            <w:r>
              <w:rPr>
                <w:rFonts w:ascii="Calibri" w:hAnsi="Calibri"/>
                <w:b/>
                <w:color w:val="FFFFFF"/>
                <w:sz w:val="19"/>
              </w:rPr>
              <w:t>Source &amp; Trigger</w:t>
            </w:r>
          </w:p>
        </w:tc>
        <w:tc>
          <w:tcPr>
            <w:tcW w:type="dxa" w:w="1987"/>
            <w:shd w:fill="1B365D"/>
            <w:tcMar>
              <w:top w:w="140" w:type="dxa"/>
              <w:bottom w:w="140" w:type="dxa"/>
              <w:left w:w="150" w:type="dxa"/>
              <w:right w:w="150" w:type="dxa"/>
            </w:tcMar>
          </w:tcPr>
          <w:p>
            <w:pPr>
              <w:jc w:val="left"/>
            </w:pPr>
            <w:r>
              <w:rPr>
                <w:rFonts w:ascii="Calibri" w:hAnsi="Calibri"/>
                <w:b/>
                <w:color w:val="FFFFFF"/>
                <w:sz w:val="19"/>
              </w:rPr>
              <w:t>Processing Component</w:t>
            </w:r>
          </w:p>
        </w:tc>
        <w:tc>
          <w:tcPr>
            <w:tcW w:type="dxa" w:w="1987"/>
            <w:shd w:fill="1B365D"/>
            <w:tcMar>
              <w:top w:w="140" w:type="dxa"/>
              <w:bottom w:w="140" w:type="dxa"/>
              <w:left w:w="150" w:type="dxa"/>
              <w:right w:w="150" w:type="dxa"/>
            </w:tcMar>
          </w:tcPr>
          <w:p>
            <w:pPr>
              <w:jc w:val="left"/>
            </w:pPr>
            <w:r>
              <w:rPr>
                <w:rFonts w:ascii="Calibri" w:hAnsi="Calibri"/>
                <w:b/>
                <w:color w:val="FFFFFF"/>
                <w:sz w:val="19"/>
              </w:rPr>
              <w:t>Graph Destination</w:t>
            </w:r>
          </w:p>
        </w:tc>
        <w:tc>
          <w:tcPr>
            <w:tcW w:type="dxa" w:w="1987"/>
            <w:shd w:fill="1B365D"/>
            <w:tcMar>
              <w:top w:w="140" w:type="dxa"/>
              <w:bottom w:w="140" w:type="dxa"/>
              <w:left w:w="150" w:type="dxa"/>
              <w:right w:w="150" w:type="dxa"/>
            </w:tcMar>
          </w:tcPr>
          <w:p>
            <w:pPr>
              <w:jc w:val="left"/>
            </w:pPr>
            <w:r>
              <w:rPr>
                <w:rFonts w:ascii="Calibri" w:hAnsi="Calibri"/>
                <w:b/>
                <w:color w:val="FFFFFF"/>
                <w:sz w:val="19"/>
              </w:rPr>
              <w:t>Current Health Status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Pipeline A: Live DB Trigger Outbox</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54 tables; SQL triggers on INSERT/UPDATE/DELETE</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GraphDrain -&gt; TableGraphProjection &amp; Bespoke Projections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Native-keyed nodes &amp; relationships</w:t>
            </w:r>
          </w:p>
        </w:tc>
        <w:tc>
          <w:tcPr>
            <w:tcW w:type="dxa" w:w="1987"/>
            <w:shd w:fill="F1F5F9"/>
            <w:tcMar>
              <w:top w:w="100" w:type="dxa"/>
              <w:bottom w:w="100" w:type="dxa"/>
              <w:left w:w="140" w:type="dxa"/>
              <w:right w:w="140" w:type="dxa"/>
            </w:tcMar>
          </w:tcPr>
          <w:p>
            <w:pPr>
              <w:jc w:val="left"/>
            </w:pPr>
            <w:r>
              <w:rPr>
                <w:rFonts w:ascii="Calibri" w:hAnsi="Calibri"/>
                <w:b w:val="0"/>
                <w:i w:val="0"/>
                <w:color w:val="166534"/>
                <w:sz w:val="18"/>
              </w:rPr>
              <w:t>Verified Working (100% drained, 0 pending)</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Pipeline B: PAL Set Coherence Projection</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pal_* tables; Scheduled sweeps &amp; on-demand</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CoherenceGraphProjection (Bulk Cypher MERGE)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:Concept, :Chapter, REQUIRES, ASSESSES, HAS_MASTERY</w:t>
            </w:r>
          </w:p>
        </w:tc>
        <w:tc>
          <w:tcPr>
            <w:tcW w:type="dxa" w:w="1987"/>
            <w:shd w:fill="FFFFFF"/>
            <w:tcMar>
              <w:top w:w="100" w:type="dxa"/>
              <w:bottom w:w="100" w:type="dxa"/>
              <w:left w:w="140" w:type="dxa"/>
              <w:right w:w="140" w:type="dxa"/>
            </w:tcMar>
          </w:tcPr>
          <w:p>
            <w:pPr>
              <w:jc w:val="left"/>
            </w:pPr>
            <w:r>
              <w:rPr>
                <w:rFonts w:ascii="Calibri" w:hAnsi="Calibri"/>
                <w:b w:val="0"/>
                <w:i w:val="0"/>
                <w:color w:val="166534"/>
                <w:sz w:val="18"/>
              </w:rPr>
              <w:t>Verified Working (Active nightly/5-min)</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Pipeline C: Batch CSV / Cypher Loader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Exported CSVs; Artisan console (neo4j:load)</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LoadCommand -&gt; 10_*.cypher to 70_*.cypher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Historical UID-keyed nodes &amp; relationships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Guarded / Historical (Dual-key guard active)</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Pipeline D: Secondary LMS+PAL Migration</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K12 primary Neo4j graph; Manual command</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CopyLmsPalCommand (HTTP transport)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Dedicated LMS+PAL Neo4j instance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Operational Utility (Standalone)</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Pipeline E: Legacy Inline Writers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Direct web routes (/lms/pal, /assessment)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Neo4jSyncController &amp; legacy controller calls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Old D2 key schema</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Muted (NEO4J_WRITES_ENABLED=false)</w:t>
            </w:r>
          </w:p>
        </w:tc>
      </w:tr>
    </w:tbl>
    <w:p>
      <w:pPr>
        <w:spacing w:after="120"/>
      </w:pPr>
    </w:p>
    <w:p>
      <w:pPr>
        <w:keepNext/>
        <w:spacing w:before="360" w:after="120"/>
      </w:pPr>
      <w:r>
        <w:rPr>
          <w:rFonts w:ascii="Calibri" w:hAnsi="Calibri"/>
          <w:b/>
          <w:color w:val="1B365D"/>
          <w:sz w:val="30"/>
        </w:rPr>
        <w:t>8. End-to-End SQL-to-Neo4j Flow</w:t>
      </w:r>
    </w:p>
    <w:p>
      <w:pPr>
        <w:spacing w:after="80" w:line="276" w:lineRule="auto"/>
      </w:pPr>
      <w:r>
        <w:rPr>
          <w:rFonts w:ascii="Calibri" w:hAnsi="Calibri"/>
          <w:color w:val="222222"/>
          <w:sz w:val="19"/>
        </w:rPr>
        <w:t>The complete lifecycle of how a change moves from MariaDB to Neo4j:</w:t>
      </w:r>
    </w:p>
    <w:p>
      <w:pPr>
        <w:spacing w:after="80" w:line="276" w:lineRule="auto"/>
      </w:pPr>
      <w:r>
        <w:rPr>
          <w:rFonts w:ascii="Calibri" w:hAnsi="Calibri"/>
          <w:b/>
          <w:color w:val="1B365D"/>
          <w:sz w:val="19"/>
        </w:rPr>
        <w:t xml:space="preserve">1. Transactional SQL Mutation: </w:t>
      </w:r>
      <w:r>
        <w:rPr>
          <w:rFonts w:ascii="Calibri" w:hAnsi="Calibri"/>
          <w:color w:val="222222"/>
          <w:sz w:val="19"/>
        </w:rPr>
        <w:t>A user action in the ERP (admissions, attendance, exam creation, curriculum authoring) issues an INSERT, UPDATE, or DELETE query in MariaDB inside an active database transaction.</w:t>
      </w:r>
    </w:p>
    <w:p>
      <w:pPr>
        <w:spacing w:after="80" w:line="276" w:lineRule="auto"/>
      </w:pPr>
      <w:r>
        <w:rPr>
          <w:rFonts w:ascii="Calibri" w:hAnsi="Calibri"/>
          <w:b/>
          <w:color w:val="1B365D"/>
          <w:sz w:val="19"/>
        </w:rPr>
        <w:t xml:space="preserve">2. Atomic Trigger Capture: </w:t>
      </w:r>
      <w:r>
        <w:rPr>
          <w:rFonts w:ascii="Calibri" w:hAnsi="Calibri"/>
          <w:color w:val="222222"/>
          <w:sz w:val="19"/>
        </w:rPr>
        <w:t>The table's database trigger fires BEFORE COMMIT. It records an event payload into `sync_log` inside the caller's transaction. If the business transaction fails, the sync event rolls back atomically, preventing phantom graph writes.</w:t>
      </w:r>
    </w:p>
    <w:p>
      <w:pPr>
        <w:spacing w:after="80" w:line="276" w:lineRule="auto"/>
      </w:pPr>
      <w:r>
        <w:rPr>
          <w:rFonts w:ascii="Calibri" w:hAnsi="Calibri"/>
          <w:b/>
          <w:color w:val="1B365D"/>
          <w:sz w:val="19"/>
        </w:rPr>
        <w:t xml:space="preserve">3. Outbox Draining: </w:t>
      </w:r>
      <w:r>
        <w:rPr>
          <w:rFonts w:ascii="Calibri" w:hAnsi="Calibri"/>
          <w:color w:val="222222"/>
          <w:sz w:val="19"/>
        </w:rPr>
        <w:t>The supervised console command `php artisan neo4j:drain` executes every minute under a 5-minute mutex. (Alternatively, real-time UI flows can invoke `GraphSync::flushRecord()` for immediate zero-delay synchronization).</w:t>
      </w:r>
    </w:p>
    <w:p>
      <w:pPr>
        <w:spacing w:after="80" w:line="276" w:lineRule="auto"/>
      </w:pPr>
      <w:r>
        <w:rPr>
          <w:rFonts w:ascii="Calibri" w:hAnsi="Calibri"/>
          <w:b/>
          <w:color w:val="1B365D"/>
          <w:sz w:val="19"/>
        </w:rPr>
        <w:t xml:space="preserve">4. Projection Resolution: </w:t>
      </w:r>
      <w:r>
        <w:rPr>
          <w:rFonts w:ascii="Calibri" w:hAnsi="Calibri"/>
          <w:color w:val="222222"/>
          <w:sz w:val="19"/>
        </w:rPr>
        <w:t>GraphDrain fetches pending `sync_log` rows and queries `ProjectionRegistry`. Complex domain entities are handed to Bespoke Projections (Student, Staff, Result, Engagement); standard tables are handled by `TableGraphProjection`.</w:t>
      </w:r>
    </w:p>
    <w:p>
      <w:pPr>
        <w:spacing w:after="80" w:line="276" w:lineRule="auto"/>
      </w:pPr>
      <w:r>
        <w:rPr>
          <w:rFonts w:ascii="Calibri" w:hAnsi="Calibri"/>
          <w:b/>
          <w:color w:val="1B365D"/>
          <w:sz w:val="19"/>
        </w:rPr>
        <w:t xml:space="preserve">5. Native Node MERGE: </w:t>
      </w:r>
      <w:r>
        <w:rPr>
          <w:rFonts w:ascii="Calibri" w:hAnsi="Calibri"/>
          <w:color w:val="222222"/>
          <w:sz w:val="19"/>
        </w:rPr>
        <w:t>The projection re-reads MariaDB to obtain current row state, constructs `displayLabel`, and executes an idempotent Cypher `MERGE` on the node's native integer ID. Edge requirements are written to `neo4j_sync_queue`.</w:t>
      </w:r>
    </w:p>
    <w:p>
      <w:pPr>
        <w:spacing w:after="80" w:line="276" w:lineRule="auto"/>
      </w:pPr>
      <w:r>
        <w:rPr>
          <w:rFonts w:ascii="Calibri" w:hAnsi="Calibri"/>
          <w:b/>
          <w:color w:val="1B365D"/>
          <w:sz w:val="19"/>
        </w:rPr>
        <w:t xml:space="preserve">6. Relationship Assembly: </w:t>
      </w:r>
      <w:r>
        <w:rPr>
          <w:rFonts w:ascii="Calibri" w:hAnsi="Calibri"/>
          <w:color w:val="222222"/>
          <w:sz w:val="19"/>
        </w:rPr>
        <w:t>GraphDrain processes `neo4j_sync_queue`, matching both endpoints and merging the relationship. If an endpoint is missing, `repairEndpoints()` attempts to project the parent. If the parent does not exist in MariaDB, the retry counter increments up to 5 attempts before marking the row failed.</w:t>
      </w:r>
    </w:p>
    <w:p>
      <w:pPr>
        <w:spacing w:after="80" w:line="276" w:lineRule="auto"/>
      </w:pPr>
      <w:r>
        <w:rPr>
          <w:rFonts w:ascii="Calibri" w:hAnsi="Calibri"/>
          <w:b/>
          <w:color w:val="1B365D"/>
          <w:sz w:val="19"/>
        </w:rPr>
        <w:t xml:space="preserve">7. Nightly Reconcile &amp; Audit: </w:t>
      </w:r>
      <w:r>
        <w:rPr>
          <w:rFonts w:ascii="Calibri" w:hAnsi="Calibri"/>
          <w:color w:val="222222"/>
          <w:sz w:val="19"/>
        </w:rPr>
        <w:t>Every night at 02:30, `php artisan neo4j:reconcile --fix` audits MariaDB against Neo4j to detect and repair any drift.</w:t>
      </w:r>
    </w:p>
    <w:p>
      <w:pPr>
        <w:keepNext/>
        <w:spacing w:before="360" w:after="120"/>
      </w:pPr>
      <w:r>
        <w:rPr>
          <w:rFonts w:ascii="Calibri" w:hAnsi="Calibri"/>
          <w:b/>
          <w:color w:val="1B365D"/>
          <w:sz w:val="30"/>
        </w:rPr>
        <w:t>9. Module-Wise Audit of All Seven ERP Modules</w:t>
      </w:r>
    </w:p>
    <w:p>
      <w:pPr>
        <w:keepNext/>
        <w:spacing w:before="240" w:after="80"/>
      </w:pPr>
      <w:r>
        <w:rPr>
          <w:rFonts w:ascii="Calibri" w:hAnsi="Calibri"/>
          <w:b/>
          <w:color w:val="4B6B94"/>
          <w:sz w:val="24"/>
        </w:rPr>
        <w:t>Module 1: Dashboard</w:t>
      </w:r>
    </w:p>
    <w:p>
      <w:pPr>
        <w:spacing w:after="80" w:line="276" w:lineRule="auto"/>
      </w:pPr>
      <w:r>
        <w:rPr>
          <w:rFonts w:ascii="Calibri" w:hAnsi="Calibri"/>
          <w:b/>
          <w:color w:val="1B365D"/>
          <w:sz w:val="19"/>
        </w:rPr>
        <w:t xml:space="preserve">Architecture Classification: </w:t>
      </w:r>
      <w:r>
        <w:rPr>
          <w:rFonts w:ascii="Calibri" w:hAnsi="Calibri"/>
          <w:color w:val="222222"/>
          <w:sz w:val="19"/>
        </w:rPr>
        <w:t>SQL-Only (Standard ERP) / Graph-Derived (PAL Analytics)</w:t>
      </w:r>
    </w:p>
    <w:p>
      <w:pPr>
        <w:spacing w:after="80" w:line="276" w:lineRule="auto"/>
      </w:pPr>
      <w:r>
        <w:rPr>
          <w:rFonts w:ascii="Calibri" w:hAnsi="Calibri"/>
          <w:b/>
          <w:color w:val="1B365D"/>
          <w:sz w:val="19"/>
        </w:rPr>
        <w:t xml:space="preserve">Frontend Components: </w:t>
      </w:r>
      <w:r>
        <w:rPr>
          <w:rFonts w:ascii="Calibri" w:hAnsi="Calibri"/>
          <w:color w:val="222222"/>
          <w:sz w:val="19"/>
        </w:rPr>
        <w:t>C:\lms_k12\app\dashboard, RightFloatingToolbar.tsx</w:t>
      </w:r>
    </w:p>
    <w:p>
      <w:pPr>
        <w:spacing w:after="80" w:line="276" w:lineRule="auto"/>
      </w:pPr>
      <w:r>
        <w:rPr>
          <w:rFonts w:ascii="Calibri" w:hAnsi="Calibri"/>
          <w:b/>
          <w:color w:val="1B365D"/>
          <w:sz w:val="19"/>
        </w:rPr>
        <w:t xml:space="preserve">API Endpoints: </w:t>
      </w:r>
      <w:r>
        <w:rPr>
          <w:rFonts w:ascii="Calibri" w:hAnsi="Calibri"/>
          <w:color w:val="222222"/>
          <w:sz w:val="19"/>
        </w:rPr>
        <w:t>/api/v1/dashboard/*, /api/students-dashboard, /api/fees-dashboard</w:t>
      </w:r>
    </w:p>
    <w:p>
      <w:pPr>
        <w:spacing w:after="80" w:line="276" w:lineRule="auto"/>
      </w:pPr>
      <w:r>
        <w:rPr>
          <w:rFonts w:ascii="Calibri" w:hAnsi="Calibri"/>
          <w:b/>
          <w:color w:val="1B365D"/>
          <w:sz w:val="19"/>
        </w:rPr>
        <w:t xml:space="preserve">Controllers &amp; Services: </w:t>
      </w:r>
      <w:r>
        <w:rPr>
          <w:rFonts w:ascii="Calibri" w:hAnsi="Calibri"/>
          <w:color w:val="222222"/>
          <w:sz w:val="19"/>
        </w:rPr>
        <w:t>dashboardController, AdmissionsDashboardApiController, FeesDashboardApiController</w:t>
      </w:r>
    </w:p>
    <w:p>
      <w:pPr>
        <w:spacing w:after="80" w:line="276" w:lineRule="auto"/>
      </w:pPr>
      <w:r>
        <w:rPr>
          <w:rFonts w:ascii="Calibri" w:hAnsi="Calibri"/>
          <w:b/>
          <w:color w:val="1B365D"/>
          <w:sz w:val="19"/>
        </w:rPr>
        <w:t xml:space="preserve">Source SQL Tables: </w:t>
      </w:r>
      <w:r>
        <w:rPr>
          <w:rFonts w:ascii="Calibri" w:hAnsi="Calibri"/>
          <w:color w:val="222222"/>
          <w:sz w:val="19"/>
        </w:rPr>
        <w:t>tblstudent, fees_receipt, attendance_student, admission_enquiry</w:t>
      </w:r>
    </w:p>
    <w:p>
      <w:pPr>
        <w:spacing w:after="80" w:line="276" w:lineRule="auto"/>
      </w:pPr>
      <w:r>
        <w:rPr>
          <w:rFonts w:ascii="Calibri" w:hAnsi="Calibri"/>
          <w:b/>
          <w:color w:val="1B365D"/>
          <w:sz w:val="19"/>
        </w:rPr>
        <w:t xml:space="preserve">Synchronization Pipeline: </w:t>
      </w:r>
      <w:r>
        <w:rPr>
          <w:rFonts w:ascii="Calibri" w:hAnsi="Calibri"/>
          <w:color w:val="222222"/>
          <w:sz w:val="19"/>
        </w:rPr>
        <w:t>None (Direct SQL queries for ERP dashboards)</w:t>
      </w:r>
    </w:p>
    <w:p>
      <w:pPr>
        <w:spacing w:after="80" w:line="276" w:lineRule="auto"/>
      </w:pPr>
      <w:r>
        <w:rPr>
          <w:rFonts w:ascii="Calibri" w:hAnsi="Calibri"/>
          <w:b/>
          <w:color w:val="1B365D"/>
          <w:sz w:val="19"/>
        </w:rPr>
        <w:t xml:space="preserve">Neo4j Labels &amp; Edges: </w:t>
      </w:r>
      <w:r>
        <w:rPr>
          <w:rFonts w:ascii="Calibri" w:hAnsi="Calibri"/>
          <w:color w:val="222222"/>
          <w:sz w:val="19"/>
        </w:rPr>
        <w:t>N/A (Standard dashboards query SQL; PAL widgets query Neo4j via PAL APIs)</w:t>
      </w:r>
    </w:p>
    <w:p>
      <w:pPr>
        <w:spacing w:after="80" w:line="276" w:lineRule="auto"/>
      </w:pPr>
      <w:r>
        <w:rPr>
          <w:rFonts w:ascii="Calibri" w:hAnsi="Calibri"/>
          <w:b/>
          <w:color w:val="1B365D"/>
          <w:sz w:val="19"/>
        </w:rPr>
        <w:t xml:space="preserve">Audit Verification: </w:t>
      </w:r>
      <w:r>
        <w:rPr>
          <w:rFonts w:ascii="Calibri" w:hAnsi="Calibri"/>
          <w:color w:val="222222"/>
          <w:sz w:val="19"/>
        </w:rPr>
        <w:t>Verified: ERP dashboard controllers contain zero direct Neo4j calls. All attendance, fee collection, and student counts are computed directly via MariaDB aggregates. PAL mastery widgets consume pre-aggregated graph endpoints.</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clean. No stale dashboard metrics caused by Neo4j synchronization delays on standard ERP pages.</w:t>
      </w:r>
    </w:p>
    <w:p>
      <w:pPr>
        <w:spacing w:after="40"/>
      </w:pPr>
    </w:p>
    <w:p>
      <w:pPr>
        <w:keepNext/>
        <w:spacing w:before="240" w:after="80"/>
      </w:pPr>
      <w:r>
        <w:rPr>
          <w:rFonts w:ascii="Calibri" w:hAnsi="Calibri"/>
          <w:b/>
          <w:color w:val="4B6B94"/>
          <w:sz w:val="24"/>
        </w:rPr>
        <w:t>Module 2: Institute ERP</w:t>
      </w:r>
    </w:p>
    <w:p>
      <w:pPr>
        <w:spacing w:after="80" w:line="276" w:lineRule="auto"/>
      </w:pPr>
      <w:r>
        <w:rPr>
          <w:rFonts w:ascii="Calibri" w:hAnsi="Calibri"/>
          <w:b/>
          <w:color w:val="1B365D"/>
          <w:sz w:val="19"/>
        </w:rPr>
        <w:t xml:space="preserve">Architecture Classification: </w:t>
      </w:r>
      <w:r>
        <w:rPr>
          <w:rFonts w:ascii="Calibri" w:hAnsi="Calibri"/>
          <w:color w:val="222222"/>
          <w:sz w:val="19"/>
        </w:rPr>
        <w:t>Hybrid (SQL Primary Source + Neo4j Graph Mirror)</w:t>
      </w:r>
    </w:p>
    <w:p>
      <w:pPr>
        <w:spacing w:after="80" w:line="276" w:lineRule="auto"/>
      </w:pPr>
      <w:r>
        <w:rPr>
          <w:rFonts w:ascii="Calibri" w:hAnsi="Calibri"/>
          <w:b/>
          <w:color w:val="1B365D"/>
          <w:sz w:val="19"/>
        </w:rPr>
        <w:t xml:space="preserve">Frontend Components: </w:t>
      </w:r>
      <w:r>
        <w:rPr>
          <w:rFonts w:ascii="Calibri" w:hAnsi="Calibri"/>
          <w:color w:val="222222"/>
          <w:sz w:val="19"/>
        </w:rPr>
        <w:t>C:\lms_k12\app\institute, school setup screens</w:t>
      </w:r>
    </w:p>
    <w:p>
      <w:pPr>
        <w:spacing w:after="80" w:line="276" w:lineRule="auto"/>
      </w:pPr>
      <w:r>
        <w:rPr>
          <w:rFonts w:ascii="Calibri" w:hAnsi="Calibri"/>
          <w:b/>
          <w:color w:val="1B365D"/>
          <w:sz w:val="19"/>
        </w:rPr>
        <w:t xml:space="preserve">API Endpoints: </w:t>
      </w:r>
      <w:r>
        <w:rPr>
          <w:rFonts w:ascii="Calibri" w:hAnsi="Calibri"/>
          <w:color w:val="222222"/>
          <w:sz w:val="19"/>
        </w:rPr>
        <w:t>/api/school-setup/*, /api/academic-year/*, /api/divisions/*</w:t>
      </w:r>
    </w:p>
    <w:p>
      <w:pPr>
        <w:spacing w:after="80" w:line="276" w:lineRule="auto"/>
      </w:pPr>
      <w:r>
        <w:rPr>
          <w:rFonts w:ascii="Calibri" w:hAnsi="Calibri"/>
          <w:b/>
          <w:color w:val="1B365D"/>
          <w:sz w:val="19"/>
        </w:rPr>
        <w:t xml:space="preserve">Controllers &amp; Services: </w:t>
      </w:r>
      <w:r>
        <w:rPr>
          <w:rFonts w:ascii="Calibri" w:hAnsi="Calibri"/>
          <w:color w:val="222222"/>
          <w:sz w:val="19"/>
        </w:rPr>
        <w:t>school_setupController, academicYearController, divisionController</w:t>
      </w:r>
    </w:p>
    <w:p>
      <w:pPr>
        <w:spacing w:after="80" w:line="276" w:lineRule="auto"/>
      </w:pPr>
      <w:r>
        <w:rPr>
          <w:rFonts w:ascii="Calibri" w:hAnsi="Calibri"/>
          <w:b/>
          <w:color w:val="1B365D"/>
          <w:sz w:val="19"/>
        </w:rPr>
        <w:t xml:space="preserve">Source SQL Tables: </w:t>
      </w:r>
      <w:r>
        <w:rPr>
          <w:rFonts w:ascii="Calibri" w:hAnsi="Calibri"/>
          <w:color w:val="222222"/>
          <w:sz w:val="19"/>
        </w:rPr>
        <w:t>school_setup, academic_year, division, standard, sub_std_map, tblstudent, tbluser</w:t>
      </w:r>
    </w:p>
    <w:p>
      <w:pPr>
        <w:spacing w:after="80" w:line="276" w:lineRule="auto"/>
      </w:pPr>
      <w:r>
        <w:rPr>
          <w:rFonts w:ascii="Calibri" w:hAnsi="Calibri"/>
          <w:b/>
          <w:color w:val="1B365D"/>
          <w:sz w:val="19"/>
        </w:rPr>
        <w:t xml:space="preserve">Synchronization Pipeline: </w:t>
      </w:r>
      <w:r>
        <w:rPr>
          <w:rFonts w:ascii="Calibri" w:hAnsi="Calibri"/>
          <w:color w:val="222222"/>
          <w:sz w:val="19"/>
        </w:rPr>
        <w:t>Pipeline A (Live DB Triggers) &amp; Historical Pipeline C</w:t>
      </w:r>
    </w:p>
    <w:p>
      <w:pPr>
        <w:spacing w:after="80" w:line="276" w:lineRule="auto"/>
      </w:pPr>
      <w:r>
        <w:rPr>
          <w:rFonts w:ascii="Calibri" w:hAnsi="Calibri"/>
          <w:b/>
          <w:color w:val="1B365D"/>
          <w:sz w:val="19"/>
        </w:rPr>
        <w:t xml:space="preserve">Neo4j Labels &amp; Edges: </w:t>
      </w:r>
      <w:r>
        <w:rPr>
          <w:rFonts w:ascii="Calibri" w:hAnsi="Calibri"/>
          <w:color w:val="222222"/>
          <w:sz w:val="19"/>
        </w:rPr>
        <w:t>:Institute, :AcademicYear, :Division, :Standard, :Subject, :Student, :Staff</w:t>
      </w:r>
    </w:p>
    <w:p>
      <w:pPr>
        <w:spacing w:after="80" w:line="276" w:lineRule="auto"/>
      </w:pPr>
      <w:r>
        <w:rPr>
          <w:rFonts w:ascii="Calibri" w:hAnsi="Calibri"/>
          <w:b/>
          <w:color w:val="1B365D"/>
          <w:sz w:val="19"/>
        </w:rPr>
        <w:t xml:space="preserve">Audit Verification: </w:t>
      </w:r>
      <w:r>
        <w:rPr>
          <w:rFonts w:ascii="Calibri" w:hAnsi="Calibri"/>
          <w:color w:val="222222"/>
          <w:sz w:val="19"/>
        </w:rPr>
        <w:t>Verified: 12 new triggers active across division, academic_year, hrms_departments, school_setup. Standard and Subject synchronized via TableGraphProjection. Student synchronized via StudentGraphProjection.</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resolved trigger gap. Historical count difference in Neo4j (:Division 492 vs SQL 672, :AcademicYear 416 vs SQL 523) reflects pre-trigger historical records awaiting one-time backfill.</w:t>
      </w:r>
    </w:p>
    <w:p>
      <w:pPr>
        <w:spacing w:after="40"/>
      </w:pPr>
    </w:p>
    <w:p>
      <w:pPr>
        <w:keepNext/>
        <w:spacing w:before="240" w:after="80"/>
      </w:pPr>
      <w:r>
        <w:rPr>
          <w:rFonts w:ascii="Calibri" w:hAnsi="Calibri"/>
          <w:b/>
          <w:color w:val="4B6B94"/>
          <w:sz w:val="24"/>
        </w:rPr>
        <w:t>Module 3: LMS + PAL</w:t>
      </w:r>
    </w:p>
    <w:p>
      <w:pPr>
        <w:spacing w:after="80" w:line="276" w:lineRule="auto"/>
      </w:pPr>
      <w:r>
        <w:rPr>
          <w:rFonts w:ascii="Calibri" w:hAnsi="Calibri"/>
          <w:b/>
          <w:color w:val="1B365D"/>
          <w:sz w:val="19"/>
        </w:rPr>
        <w:t xml:space="preserve">Architecture Classification: </w:t>
      </w:r>
      <w:r>
        <w:rPr>
          <w:rFonts w:ascii="Calibri" w:hAnsi="Calibri"/>
          <w:color w:val="222222"/>
          <w:sz w:val="19"/>
        </w:rPr>
        <w:t>Graph-Backed / Hybrid Core</w:t>
      </w:r>
    </w:p>
    <w:p>
      <w:pPr>
        <w:spacing w:after="80" w:line="276" w:lineRule="auto"/>
      </w:pPr>
      <w:r>
        <w:rPr>
          <w:rFonts w:ascii="Calibri" w:hAnsi="Calibri"/>
          <w:b/>
          <w:color w:val="1B365D"/>
          <w:sz w:val="19"/>
        </w:rPr>
        <w:t xml:space="preserve">Frontend Components: </w:t>
      </w:r>
      <w:r>
        <w:rPr>
          <w:rFonts w:ascii="Calibri" w:hAnsi="Calibri"/>
          <w:color w:val="222222"/>
          <w:sz w:val="19"/>
        </w:rPr>
        <w:t>C:\lms_k12\app\lms, C:\lms_k12\app\pal, adaptive learning views</w:t>
      </w:r>
    </w:p>
    <w:p>
      <w:pPr>
        <w:spacing w:after="80" w:line="276" w:lineRule="auto"/>
      </w:pPr>
      <w:r>
        <w:rPr>
          <w:rFonts w:ascii="Calibri" w:hAnsi="Calibri"/>
          <w:b/>
          <w:color w:val="1B365D"/>
          <w:sz w:val="19"/>
        </w:rPr>
        <w:t xml:space="preserve">API Endpoints: </w:t>
      </w:r>
      <w:r>
        <w:rPr>
          <w:rFonts w:ascii="Calibri" w:hAnsi="Calibri"/>
          <w:color w:val="222222"/>
          <w:sz w:val="19"/>
        </w:rPr>
        <w:t>/api/lms/*, /api/pal/*, /api/coherence/*, /get-personalized-learning-path/*</w:t>
      </w:r>
    </w:p>
    <w:p>
      <w:pPr>
        <w:spacing w:after="80" w:line="276" w:lineRule="auto"/>
      </w:pPr>
      <w:r>
        <w:rPr>
          <w:rFonts w:ascii="Calibri" w:hAnsi="Calibri"/>
          <w:b/>
          <w:color w:val="1B365D"/>
          <w:sz w:val="19"/>
        </w:rPr>
        <w:t xml:space="preserve">Controllers &amp; Services: </w:t>
      </w:r>
      <w:r>
        <w:rPr>
          <w:rFonts w:ascii="Calibri" w:hAnsi="Calibri"/>
          <w:color w:val="222222"/>
          <w:sz w:val="19"/>
        </w:rPr>
        <w:t>lmsController, palController, CoherenceMapController, ResultGraphProjection</w:t>
      </w:r>
    </w:p>
    <w:p>
      <w:pPr>
        <w:spacing w:after="80" w:line="276" w:lineRule="auto"/>
      </w:pPr>
      <w:r>
        <w:rPr>
          <w:rFonts w:ascii="Calibri" w:hAnsi="Calibri"/>
          <w:b/>
          <w:color w:val="1B365D"/>
          <w:sz w:val="19"/>
        </w:rPr>
        <w:t xml:space="preserve">Source SQL Tables: </w:t>
      </w:r>
      <w:r>
        <w:rPr>
          <w:rFonts w:ascii="Calibri" w:hAnsi="Calibri"/>
          <w:color w:val="222222"/>
          <w:sz w:val="19"/>
        </w:rPr>
        <w:t>chapter_master, lms_concept, lms_lesson_plan, lms_curriculum, lms_units, question_paper, lms_question_master, lms_online_exam, content_master, pal_*</w:t>
      </w:r>
    </w:p>
    <w:p>
      <w:pPr>
        <w:spacing w:after="80" w:line="276" w:lineRule="auto"/>
      </w:pPr>
      <w:r>
        <w:rPr>
          <w:rFonts w:ascii="Calibri" w:hAnsi="Calibri"/>
          <w:b/>
          <w:color w:val="1B365D"/>
          <w:sz w:val="19"/>
        </w:rPr>
        <w:t xml:space="preserve">Synchronization Pipeline: </w:t>
      </w:r>
      <w:r>
        <w:rPr>
          <w:rFonts w:ascii="Calibri" w:hAnsi="Calibri"/>
          <w:color w:val="222222"/>
          <w:sz w:val="19"/>
        </w:rPr>
        <w:t>Pipeline A (Transactional) + Pipeline B (CoherenceGraphProjection Nightly)</w:t>
      </w:r>
    </w:p>
    <w:p>
      <w:pPr>
        <w:spacing w:after="80" w:line="276" w:lineRule="auto"/>
      </w:pPr>
      <w:r>
        <w:rPr>
          <w:rFonts w:ascii="Calibri" w:hAnsi="Calibri"/>
          <w:b/>
          <w:color w:val="1B365D"/>
          <w:sz w:val="19"/>
        </w:rPr>
        <w:t xml:space="preserve">Neo4j Labels &amp; Edges: </w:t>
      </w:r>
      <w:r>
        <w:rPr>
          <w:rFonts w:ascii="Calibri" w:hAnsi="Calibri"/>
          <w:color w:val="222222"/>
          <w:sz w:val="19"/>
        </w:rPr>
        <w:t>:Chapter, :Concept, :Lesson, :Curriculum, :Unit, :Assessment, :Question, :Result, :TeachingResource; Edges: REQUIRES, CROSS_LINKS, TEACHES, ASSESSES, HAS_MASTERY</w:t>
      </w:r>
    </w:p>
    <w:p>
      <w:pPr>
        <w:spacing w:after="80" w:line="276" w:lineRule="auto"/>
      </w:pPr>
      <w:r>
        <w:rPr>
          <w:rFonts w:ascii="Calibri" w:hAnsi="Calibri"/>
          <w:b/>
          <w:color w:val="1B365D"/>
          <w:sz w:val="19"/>
        </w:rPr>
        <w:t xml:space="preserve">Audit Verification: </w:t>
      </w:r>
      <w:r>
        <w:rPr>
          <w:rFonts w:ascii="Calibri" w:hAnsi="Calibri"/>
          <w:color w:val="222222"/>
          <w:sz w:val="19"/>
        </w:rPr>
        <w:t>Verified: 8,014 Concepts, 96,884 Questions, 149,051 Results in Neo4j. CoherenceGraphProjection actively manages 7,565 REQUIRES edges and 20,259 ASSESSES edges. 11,363 failed queue rows triaged as UNRECOVERABLE due to legacy chapter renumbering.</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Adaptive learning and personal learning paths consume live Neo4j Cypher traversals. Coherence map mastery sweep runs every 5 minutes in Kernel.php.</w:t>
      </w:r>
    </w:p>
    <w:p>
      <w:pPr>
        <w:spacing w:after="40"/>
      </w:pPr>
    </w:p>
    <w:p>
      <w:pPr>
        <w:keepNext/>
        <w:spacing w:before="240" w:after="80"/>
      </w:pPr>
      <w:r>
        <w:rPr>
          <w:rFonts w:ascii="Calibri" w:hAnsi="Calibri"/>
          <w:b/>
          <w:color w:val="4B6B94"/>
          <w:sz w:val="24"/>
        </w:rPr>
        <w:t>Module 4: People and Competency</w:t>
      </w:r>
    </w:p>
    <w:p>
      <w:pPr>
        <w:spacing w:after="80" w:line="276" w:lineRule="auto"/>
      </w:pPr>
      <w:r>
        <w:rPr>
          <w:rFonts w:ascii="Calibri" w:hAnsi="Calibri"/>
          <w:b/>
          <w:color w:val="1B365D"/>
          <w:sz w:val="19"/>
        </w:rPr>
        <w:t xml:space="preserve">Architecture Classification: </w:t>
      </w:r>
      <w:r>
        <w:rPr>
          <w:rFonts w:ascii="Calibri" w:hAnsi="Calibri"/>
          <w:color w:val="222222"/>
          <w:sz w:val="19"/>
        </w:rPr>
        <w:t>Hybrid (SQL HRMS + Neo4j Competency Framework)</w:t>
      </w:r>
    </w:p>
    <w:p>
      <w:pPr>
        <w:spacing w:after="80" w:line="276" w:lineRule="auto"/>
      </w:pPr>
      <w:r>
        <w:rPr>
          <w:rFonts w:ascii="Calibri" w:hAnsi="Calibri"/>
          <w:b/>
          <w:color w:val="1B365D"/>
          <w:sz w:val="19"/>
        </w:rPr>
        <w:t xml:space="preserve">Frontend Components: </w:t>
      </w:r>
      <w:r>
        <w:rPr>
          <w:rFonts w:ascii="Calibri" w:hAnsi="Calibri"/>
          <w:color w:val="222222"/>
          <w:sz w:val="19"/>
        </w:rPr>
        <w:t>C:\lms_k12\app\hr, talent management views</w:t>
      </w:r>
    </w:p>
    <w:p>
      <w:pPr>
        <w:spacing w:after="80" w:line="276" w:lineRule="auto"/>
      </w:pPr>
      <w:r>
        <w:rPr>
          <w:rFonts w:ascii="Calibri" w:hAnsi="Calibri"/>
          <w:b/>
          <w:color w:val="1B365D"/>
          <w:sz w:val="19"/>
        </w:rPr>
        <w:t xml:space="preserve">API Endpoints: </w:t>
      </w:r>
      <w:r>
        <w:rPr>
          <w:rFonts w:ascii="Calibri" w:hAnsi="Calibri"/>
          <w:color w:val="222222"/>
          <w:sz w:val="19"/>
        </w:rPr>
        <w:t>/api/hrms/*, /api/talent-management/*, /api/competency/*</w:t>
      </w:r>
    </w:p>
    <w:p>
      <w:pPr>
        <w:spacing w:after="80" w:line="276" w:lineRule="auto"/>
      </w:pPr>
      <w:r>
        <w:rPr>
          <w:rFonts w:ascii="Calibri" w:hAnsi="Calibri"/>
          <w:b/>
          <w:color w:val="1B365D"/>
          <w:sz w:val="19"/>
        </w:rPr>
        <w:t xml:space="preserve">Controllers &amp; Services: </w:t>
      </w:r>
      <w:r>
        <w:rPr>
          <w:rFonts w:ascii="Calibri" w:hAnsi="Calibri"/>
          <w:color w:val="222222"/>
          <w:sz w:val="19"/>
        </w:rPr>
        <w:t>staffController, TalentDashboardController, StaffGraphProjection</w:t>
      </w:r>
    </w:p>
    <w:p>
      <w:pPr>
        <w:spacing w:after="80" w:line="276" w:lineRule="auto"/>
      </w:pPr>
      <w:r>
        <w:rPr>
          <w:rFonts w:ascii="Calibri" w:hAnsi="Calibri"/>
          <w:b/>
          <w:color w:val="1B365D"/>
          <w:sz w:val="19"/>
        </w:rPr>
        <w:t xml:space="preserve">Source SQL Tables: </w:t>
      </w:r>
      <w:r>
        <w:rPr>
          <w:rFonts w:ascii="Calibri" w:hAnsi="Calibri"/>
          <w:color w:val="222222"/>
          <w:sz w:val="19"/>
        </w:rPr>
        <w:t>tbluser, hrms_holidays, hrms_leave_types, payroll_types, tbluser_shift_master, employee_salary_structures, s_users_skills, s_competency_frameworks, s_competency_framework_items</w:t>
      </w:r>
    </w:p>
    <w:p>
      <w:pPr>
        <w:spacing w:after="80" w:line="276" w:lineRule="auto"/>
      </w:pPr>
      <w:r>
        <w:rPr>
          <w:rFonts w:ascii="Calibri" w:hAnsi="Calibri"/>
          <w:b/>
          <w:color w:val="1B365D"/>
          <w:sz w:val="19"/>
        </w:rPr>
        <w:t xml:space="preserve">Synchronization Pipeline: </w:t>
      </w:r>
      <w:r>
        <w:rPr>
          <w:rFonts w:ascii="Calibri" w:hAnsi="Calibri"/>
          <w:color w:val="222222"/>
          <w:sz w:val="19"/>
        </w:rPr>
        <w:t>Pipeline A (Triggers on tbluser, s_users_skills, s_competency_frameworks)</w:t>
      </w:r>
    </w:p>
    <w:p>
      <w:pPr>
        <w:spacing w:after="80" w:line="276" w:lineRule="auto"/>
      </w:pPr>
      <w:r>
        <w:rPr>
          <w:rFonts w:ascii="Calibri" w:hAnsi="Calibri"/>
          <w:b/>
          <w:color w:val="1B365D"/>
          <w:sz w:val="19"/>
        </w:rPr>
        <w:t xml:space="preserve">Neo4j Labels &amp; Edges: </w:t>
      </w:r>
      <w:r>
        <w:rPr>
          <w:rFonts w:ascii="Calibri" w:hAnsi="Calibri"/>
          <w:color w:val="222222"/>
          <w:sz w:val="19"/>
        </w:rPr>
        <w:t>:Staff, :Teacher, :Holiday, :LeaveType, :PayrollType, :StaffShift, :SalaryStructure, :Competency, :CompetencyFramework; Edges: WORKS_AT, IN_DEPARTMENT, HAS_COMPETENCY</w:t>
      </w:r>
    </w:p>
    <w:p>
      <w:pPr>
        <w:spacing w:after="80" w:line="276" w:lineRule="auto"/>
      </w:pPr>
      <w:r>
        <w:rPr>
          <w:rFonts w:ascii="Calibri" w:hAnsi="Calibri"/>
          <w:b/>
          <w:color w:val="1B365D"/>
          <w:sz w:val="19"/>
        </w:rPr>
        <w:t xml:space="preserve">Audit Verification: </w:t>
      </w:r>
      <w:r>
        <w:rPr>
          <w:rFonts w:ascii="Calibri" w:hAnsi="Calibri"/>
          <w:color w:val="222222"/>
          <w:sz w:val="19"/>
        </w:rPr>
        <w:t>Verified: tbluser correctly partitioned into 4,654 :Staff and 118 :Teacher nodes (5,516 total). 5,066 :Competency nodes and 5 :CompetencyFramework nodes synchronized.</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working. User login updates to last_login are excluded from triggers, preventing outbox flooding.</w:t>
      </w:r>
    </w:p>
    <w:p>
      <w:pPr>
        <w:spacing w:after="40"/>
      </w:pPr>
    </w:p>
    <w:p>
      <w:pPr>
        <w:keepNext/>
        <w:spacing w:before="240" w:after="80"/>
      </w:pPr>
      <w:r>
        <w:rPr>
          <w:rFonts w:ascii="Calibri" w:hAnsi="Calibri"/>
          <w:b/>
          <w:color w:val="4B6B94"/>
          <w:sz w:val="24"/>
        </w:rPr>
        <w:t>Module 5: Enterprise Brain</w:t>
      </w:r>
    </w:p>
    <w:p>
      <w:pPr>
        <w:spacing w:after="80" w:line="276" w:lineRule="auto"/>
      </w:pPr>
      <w:r>
        <w:rPr>
          <w:rFonts w:ascii="Calibri" w:hAnsi="Calibri"/>
          <w:b/>
          <w:color w:val="1B365D"/>
          <w:sz w:val="19"/>
        </w:rPr>
        <w:t xml:space="preserve">Architecture Classification: </w:t>
      </w:r>
      <w:r>
        <w:rPr>
          <w:rFonts w:ascii="Calibri" w:hAnsi="Calibri"/>
          <w:color w:val="222222"/>
          <w:sz w:val="19"/>
        </w:rPr>
        <w:t>Hybrid Semantic Intelligence / Context Graph</w:t>
      </w:r>
    </w:p>
    <w:p>
      <w:pPr>
        <w:spacing w:after="80" w:line="276" w:lineRule="auto"/>
      </w:pPr>
      <w:r>
        <w:rPr>
          <w:rFonts w:ascii="Calibri" w:hAnsi="Calibri"/>
          <w:b/>
          <w:color w:val="1B365D"/>
          <w:sz w:val="19"/>
        </w:rPr>
        <w:t xml:space="preserve">Frontend Components: </w:t>
      </w:r>
      <w:r>
        <w:rPr>
          <w:rFonts w:ascii="Calibri" w:hAnsi="Calibri"/>
          <w:color w:val="222222"/>
          <w:sz w:val="19"/>
        </w:rPr>
        <w:t>C:\hp-enterprise-brain (SignalChainView.tsx), C:\lms_k12 AI chat panel</w:t>
      </w:r>
    </w:p>
    <w:p>
      <w:pPr>
        <w:spacing w:after="80" w:line="276" w:lineRule="auto"/>
      </w:pPr>
      <w:r>
        <w:rPr>
          <w:rFonts w:ascii="Calibri" w:hAnsi="Calibri"/>
          <w:b/>
          <w:color w:val="1B365D"/>
          <w:sz w:val="19"/>
        </w:rPr>
        <w:t xml:space="preserve">API Endpoints: </w:t>
      </w:r>
      <w:r>
        <w:rPr>
          <w:rFonts w:ascii="Calibri" w:hAnsi="Calibri"/>
          <w:color w:val="222222"/>
          <w:sz w:val="19"/>
        </w:rPr>
        <w:t>/api/ai/*, /api/context-graph/*, /signals/*</w:t>
      </w:r>
    </w:p>
    <w:p>
      <w:pPr>
        <w:spacing w:after="80" w:line="276" w:lineRule="auto"/>
      </w:pPr>
      <w:r>
        <w:rPr>
          <w:rFonts w:ascii="Calibri" w:hAnsi="Calibri"/>
          <w:b/>
          <w:color w:val="1B365D"/>
          <w:sz w:val="19"/>
        </w:rPr>
        <w:t xml:space="preserve">Controllers &amp; Services: </w:t>
      </w:r>
      <w:r>
        <w:rPr>
          <w:rFonts w:ascii="Calibri" w:hAnsi="Calibri"/>
          <w:color w:val="222222"/>
          <w:sz w:val="19"/>
        </w:rPr>
        <w:t>PalGraphContext, GraphRagRetriever, McpContextResolver, AiContextService</w:t>
      </w:r>
    </w:p>
    <w:p>
      <w:pPr>
        <w:spacing w:after="80" w:line="276" w:lineRule="auto"/>
      </w:pPr>
      <w:r>
        <w:rPr>
          <w:rFonts w:ascii="Calibri" w:hAnsi="Calibri"/>
          <w:b/>
          <w:color w:val="1B365D"/>
          <w:sz w:val="19"/>
        </w:rPr>
        <w:t xml:space="preserve">Source SQL Tables: </w:t>
      </w:r>
      <w:r>
        <w:rPr>
          <w:rFonts w:ascii="Calibri" w:hAnsi="Calibri"/>
          <w:color w:val="222222"/>
          <w:sz w:val="19"/>
        </w:rPr>
        <w:t>cross_product_identity_links, ai_chat_histories, pal_concepts, lms_concept</w:t>
      </w:r>
    </w:p>
    <w:p>
      <w:pPr>
        <w:spacing w:after="80" w:line="276" w:lineRule="auto"/>
      </w:pPr>
      <w:r>
        <w:rPr>
          <w:rFonts w:ascii="Calibri" w:hAnsi="Calibri"/>
          <w:b/>
          <w:color w:val="1B365D"/>
          <w:sz w:val="19"/>
        </w:rPr>
        <w:t xml:space="preserve">Synchronization Pipeline: </w:t>
      </w:r>
      <w:r>
        <w:rPr>
          <w:rFonts w:ascii="Calibri" w:hAnsi="Calibri"/>
          <w:color w:val="222222"/>
          <w:sz w:val="19"/>
        </w:rPr>
        <w:t>Graph Query Retrieval (GraphRagRetriever read port)</w:t>
      </w:r>
    </w:p>
    <w:p>
      <w:pPr>
        <w:spacing w:after="80" w:line="276" w:lineRule="auto"/>
      </w:pPr>
      <w:r>
        <w:rPr>
          <w:rFonts w:ascii="Calibri" w:hAnsi="Calibri"/>
          <w:b/>
          <w:color w:val="1B365D"/>
          <w:sz w:val="19"/>
        </w:rPr>
        <w:t xml:space="preserve">Neo4j Labels &amp; Edges: </w:t>
      </w:r>
      <w:r>
        <w:rPr>
          <w:rFonts w:ascii="Calibri" w:hAnsi="Calibri"/>
          <w:color w:val="222222"/>
          <w:sz w:val="19"/>
        </w:rPr>
        <w:t>Reads Neo4j :Concept, :Misconception, HAS_MASTERY, REQUIRES; Writes runtime context in SQL</w:t>
      </w:r>
    </w:p>
    <w:p>
      <w:pPr>
        <w:spacing w:after="80" w:line="276" w:lineRule="auto"/>
      </w:pPr>
      <w:r>
        <w:rPr>
          <w:rFonts w:ascii="Calibri" w:hAnsi="Calibri"/>
          <w:b/>
          <w:color w:val="1B365D"/>
          <w:sz w:val="19"/>
        </w:rPr>
        <w:t xml:space="preserve">Audit Verification: </w:t>
      </w:r>
      <w:r>
        <w:rPr>
          <w:rFonts w:ascii="Calibri" w:hAnsi="Calibri"/>
          <w:color w:val="222222"/>
          <w:sz w:val="19"/>
        </w:rPr>
        <w:t>Verified: PalGraphContext intercepts conversational questions naming pinned students and concepts, retrieving graph prerequisites and mastery via GraphRagRetriever without making external LLM calls. Fully isolated by tenant.</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operational architecture. Reads from the primary Neo4j database (bolt://dev.triz.co.in:7688).</w:t>
      </w:r>
    </w:p>
    <w:p>
      <w:pPr>
        <w:spacing w:after="40"/>
      </w:pPr>
    </w:p>
    <w:p>
      <w:pPr>
        <w:keepNext/>
        <w:spacing w:before="240" w:after="80"/>
      </w:pPr>
      <w:r>
        <w:rPr>
          <w:rFonts w:ascii="Calibri" w:hAnsi="Calibri"/>
          <w:b/>
          <w:color w:val="4B6B94"/>
          <w:sz w:val="24"/>
        </w:rPr>
        <w:t>Module 6: Career Counselling</w:t>
      </w:r>
    </w:p>
    <w:p>
      <w:pPr>
        <w:spacing w:after="80" w:line="276" w:lineRule="auto"/>
      </w:pPr>
      <w:r>
        <w:rPr>
          <w:rFonts w:ascii="Calibri" w:hAnsi="Calibri"/>
          <w:b/>
          <w:color w:val="1B365D"/>
          <w:sz w:val="19"/>
        </w:rPr>
        <w:t xml:space="preserve">Architecture Classification: </w:t>
      </w:r>
      <w:r>
        <w:rPr>
          <w:rFonts w:ascii="Calibri" w:hAnsi="Calibri"/>
          <w:color w:val="222222"/>
          <w:sz w:val="19"/>
        </w:rPr>
        <w:t>SQL Primary + Reference Graph (O*NET Taxonomy)</w:t>
      </w:r>
    </w:p>
    <w:p>
      <w:pPr>
        <w:spacing w:after="80" w:line="276" w:lineRule="auto"/>
      </w:pPr>
      <w:r>
        <w:rPr>
          <w:rFonts w:ascii="Calibri" w:hAnsi="Calibri"/>
          <w:b/>
          <w:color w:val="1B365D"/>
          <w:sz w:val="19"/>
        </w:rPr>
        <w:t xml:space="preserve">Frontend Components: </w:t>
      </w:r>
      <w:r>
        <w:rPr>
          <w:rFonts w:ascii="Calibri" w:hAnsi="Calibri"/>
          <w:color w:val="222222"/>
          <w:sz w:val="19"/>
        </w:rPr>
        <w:t>C:\lms_k12\app\counselling, career exploration</w:t>
      </w:r>
    </w:p>
    <w:p>
      <w:pPr>
        <w:spacing w:after="80" w:line="276" w:lineRule="auto"/>
      </w:pPr>
      <w:r>
        <w:rPr>
          <w:rFonts w:ascii="Calibri" w:hAnsi="Calibri"/>
          <w:b/>
          <w:color w:val="1B365D"/>
          <w:sz w:val="19"/>
        </w:rPr>
        <w:t xml:space="preserve">API Endpoints: </w:t>
      </w:r>
      <w:r>
        <w:rPr>
          <w:rFonts w:ascii="Calibri" w:hAnsi="Calibri"/>
          <w:color w:val="222222"/>
          <w:sz w:val="19"/>
        </w:rPr>
        <w:t>/api/counselling/*, /api/career/*</w:t>
      </w:r>
    </w:p>
    <w:p>
      <w:pPr>
        <w:spacing w:after="80" w:line="276" w:lineRule="auto"/>
      </w:pPr>
      <w:r>
        <w:rPr>
          <w:rFonts w:ascii="Calibri" w:hAnsi="Calibri"/>
          <w:b/>
          <w:color w:val="1B365D"/>
          <w:sz w:val="19"/>
        </w:rPr>
        <w:t xml:space="preserve">Controllers &amp; Services: </w:t>
      </w:r>
      <w:r>
        <w:rPr>
          <w:rFonts w:ascii="Calibri" w:hAnsi="Calibri"/>
          <w:color w:val="222222"/>
          <w:sz w:val="19"/>
        </w:rPr>
        <w:t>counsellingController, CareerAwarenessController</w:t>
      </w:r>
    </w:p>
    <w:p>
      <w:pPr>
        <w:spacing w:after="80" w:line="276" w:lineRule="auto"/>
      </w:pPr>
      <w:r>
        <w:rPr>
          <w:rFonts w:ascii="Calibri" w:hAnsi="Calibri"/>
          <w:b/>
          <w:color w:val="1B365D"/>
          <w:sz w:val="19"/>
        </w:rPr>
        <w:t xml:space="preserve">Source SQL Tables: </w:t>
      </w:r>
      <w:r>
        <w:rPr>
          <w:rFonts w:ascii="Calibri" w:hAnsi="Calibri"/>
          <w:color w:val="222222"/>
          <w:sz w:val="19"/>
        </w:rPr>
        <w:t>counselling_course, counselling_question_master, counselling_online_exam, onet_*</w:t>
      </w:r>
    </w:p>
    <w:p>
      <w:pPr>
        <w:spacing w:after="80" w:line="276" w:lineRule="auto"/>
      </w:pPr>
      <w:r>
        <w:rPr>
          <w:rFonts w:ascii="Calibri" w:hAnsi="Calibri"/>
          <w:b/>
          <w:color w:val="1B365D"/>
          <w:sz w:val="19"/>
        </w:rPr>
        <w:t xml:space="preserve">Synchronization Pipeline: </w:t>
      </w:r>
      <w:r>
        <w:rPr>
          <w:rFonts w:ascii="Calibri" w:hAnsi="Calibri"/>
          <w:color w:val="222222"/>
          <w:sz w:val="19"/>
        </w:rPr>
        <w:t>Pipeline A (counselling_*) &amp; Pipeline C (70_skills.cypher for O*NET)</w:t>
      </w:r>
    </w:p>
    <w:p>
      <w:pPr>
        <w:spacing w:after="80" w:line="276" w:lineRule="auto"/>
      </w:pPr>
      <w:r>
        <w:rPr>
          <w:rFonts w:ascii="Calibri" w:hAnsi="Calibri"/>
          <w:b/>
          <w:color w:val="1B365D"/>
          <w:sz w:val="19"/>
        </w:rPr>
        <w:t xml:space="preserve">Neo4j Labels &amp; Edges: </w:t>
      </w:r>
      <w:r>
        <w:rPr>
          <w:rFonts w:ascii="Calibri" w:hAnsi="Calibri"/>
          <w:color w:val="222222"/>
          <w:sz w:val="19"/>
        </w:rPr>
        <w:t>:CounsellingCourse (250 nodes), :CounsellingQuestion (11 nodes), :CounsellingResult (35 nodes), :JobRole, :Skill</w:t>
      </w:r>
    </w:p>
    <w:p>
      <w:pPr>
        <w:spacing w:after="80" w:line="276" w:lineRule="auto"/>
      </w:pPr>
      <w:r>
        <w:rPr>
          <w:rFonts w:ascii="Calibri" w:hAnsi="Calibri"/>
          <w:b/>
          <w:color w:val="1B365D"/>
          <w:sz w:val="19"/>
        </w:rPr>
        <w:t xml:space="preserve">Audit Verification: </w:t>
      </w:r>
      <w:r>
        <w:rPr>
          <w:rFonts w:ascii="Calibri" w:hAnsi="Calibri"/>
          <w:color w:val="222222"/>
          <w:sz w:val="19"/>
        </w:rPr>
        <w:t>Verified: Counselling transactional entities are 100% synchronized in Neo4j. 10 O*NET tables are flagged in G11 as unpopulated under table-matched labels because O*NET data is mapped into :JobRole and :Skill.</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Career recommendations utilize SQL rules with optional graph skill matching.</w:t>
      </w:r>
    </w:p>
    <w:p>
      <w:pPr>
        <w:spacing w:after="40"/>
      </w:pPr>
    </w:p>
    <w:p>
      <w:pPr>
        <w:keepNext/>
        <w:spacing w:before="240" w:after="80"/>
      </w:pPr>
      <w:r>
        <w:rPr>
          <w:rFonts w:ascii="Calibri" w:hAnsi="Calibri"/>
          <w:b/>
          <w:color w:val="4B6B94"/>
          <w:sz w:val="24"/>
        </w:rPr>
        <w:t>Module 7: Reports</w:t>
      </w:r>
    </w:p>
    <w:p>
      <w:pPr>
        <w:spacing w:after="80" w:line="276" w:lineRule="auto"/>
      </w:pPr>
      <w:r>
        <w:rPr>
          <w:rFonts w:ascii="Calibri" w:hAnsi="Calibri"/>
          <w:b/>
          <w:color w:val="1B365D"/>
          <w:sz w:val="19"/>
        </w:rPr>
        <w:t xml:space="preserve">Architecture Classification: </w:t>
      </w:r>
      <w:r>
        <w:rPr>
          <w:rFonts w:ascii="Calibri" w:hAnsi="Calibri"/>
          <w:color w:val="222222"/>
          <w:sz w:val="19"/>
        </w:rPr>
        <w:t>SQL-Backed Reporting / Analytical Graph Queries</w:t>
      </w:r>
    </w:p>
    <w:p>
      <w:pPr>
        <w:spacing w:after="80" w:line="276" w:lineRule="auto"/>
      </w:pPr>
      <w:r>
        <w:rPr>
          <w:rFonts w:ascii="Calibri" w:hAnsi="Calibri"/>
          <w:b/>
          <w:color w:val="1B365D"/>
          <w:sz w:val="19"/>
        </w:rPr>
        <w:t xml:space="preserve">Frontend Components: </w:t>
      </w:r>
      <w:r>
        <w:rPr>
          <w:rFonts w:ascii="Calibri" w:hAnsi="Calibri"/>
          <w:color w:val="222222"/>
          <w:sz w:val="19"/>
        </w:rPr>
        <w:t>C:\lms_k12\app\reports, report card generation</w:t>
      </w:r>
    </w:p>
    <w:p>
      <w:pPr>
        <w:spacing w:after="80" w:line="276" w:lineRule="auto"/>
      </w:pPr>
      <w:r>
        <w:rPr>
          <w:rFonts w:ascii="Calibri" w:hAnsi="Calibri"/>
          <w:b/>
          <w:color w:val="1B365D"/>
          <w:sz w:val="19"/>
        </w:rPr>
        <w:t xml:space="preserve">API Endpoints: </w:t>
      </w:r>
      <w:r>
        <w:rPr>
          <w:rFonts w:ascii="Calibri" w:hAnsi="Calibri"/>
          <w:color w:val="222222"/>
          <w:sz w:val="19"/>
        </w:rPr>
        <w:t>/api/reports/*, /api/result-reports/*, /api/student-results/{stuId}/graph</w:t>
      </w:r>
    </w:p>
    <w:p>
      <w:pPr>
        <w:spacing w:after="80" w:line="276" w:lineRule="auto"/>
      </w:pPr>
      <w:r>
        <w:rPr>
          <w:rFonts w:ascii="Calibri" w:hAnsi="Calibri"/>
          <w:b/>
          <w:color w:val="1B365D"/>
          <w:sz w:val="19"/>
        </w:rPr>
        <w:t xml:space="preserve">Controllers &amp; Services: </w:t>
      </w:r>
      <w:r>
        <w:rPr>
          <w:rFonts w:ascii="Calibri" w:hAnsi="Calibri"/>
          <w:color w:val="222222"/>
          <w:sz w:val="19"/>
        </w:rPr>
        <w:t>ReportsDashboardController, ReportCatalog, ReportScheduler, ResultGraphProjection</w:t>
      </w:r>
    </w:p>
    <w:p>
      <w:pPr>
        <w:spacing w:after="80" w:line="276" w:lineRule="auto"/>
      </w:pPr>
      <w:r>
        <w:rPr>
          <w:rFonts w:ascii="Calibri" w:hAnsi="Calibri"/>
          <w:b/>
          <w:color w:val="1B365D"/>
          <w:sz w:val="19"/>
        </w:rPr>
        <w:t xml:space="preserve">Source SQL Tables: </w:t>
      </w:r>
      <w:r>
        <w:rPr>
          <w:rFonts w:ascii="Calibri" w:hAnsi="Calibri"/>
          <w:color w:val="222222"/>
          <w:sz w:val="19"/>
        </w:rPr>
        <w:t>result_create_exam, result_marks, result_co_scholastic, attendance_student, fees_receipt</w:t>
      </w:r>
    </w:p>
    <w:p>
      <w:pPr>
        <w:spacing w:after="80" w:line="276" w:lineRule="auto"/>
      </w:pPr>
      <w:r>
        <w:rPr>
          <w:rFonts w:ascii="Calibri" w:hAnsi="Calibri"/>
          <w:b/>
          <w:color w:val="1B365D"/>
          <w:sz w:val="19"/>
        </w:rPr>
        <w:t xml:space="preserve">Synchronization Pipeline: </w:t>
      </w:r>
      <w:r>
        <w:rPr>
          <w:rFonts w:ascii="Calibri" w:hAnsi="Calibri"/>
          <w:color w:val="222222"/>
          <w:sz w:val="19"/>
        </w:rPr>
        <w:t>Pipeline A (result_create_exam, lms_online_exam)</w:t>
      </w:r>
    </w:p>
    <w:p>
      <w:pPr>
        <w:spacing w:after="80" w:line="276" w:lineRule="auto"/>
      </w:pPr>
      <w:r>
        <w:rPr>
          <w:rFonts w:ascii="Calibri" w:hAnsi="Calibri"/>
          <w:b/>
          <w:color w:val="1B365D"/>
          <w:sz w:val="19"/>
        </w:rPr>
        <w:t xml:space="preserve">Neo4j Labels &amp; Edges: </w:t>
      </w:r>
      <w:r>
        <w:rPr>
          <w:rFonts w:ascii="Calibri" w:hAnsi="Calibri"/>
          <w:color w:val="222222"/>
          <w:sz w:val="19"/>
        </w:rPr>
        <w:t>:Examination (36,049 nodes), :Result (149,051 nodes), :Grade, :CoScholasticArea</w:t>
      </w:r>
    </w:p>
    <w:p>
      <w:pPr>
        <w:spacing w:after="80" w:line="276" w:lineRule="auto"/>
      </w:pPr>
      <w:r>
        <w:rPr>
          <w:rFonts w:ascii="Calibri" w:hAnsi="Calibri"/>
          <w:b/>
          <w:color w:val="1B365D"/>
          <w:sz w:val="19"/>
        </w:rPr>
        <w:t xml:space="preserve">Audit Verification: </w:t>
      </w:r>
      <w:r>
        <w:rPr>
          <w:rFonts w:ascii="Calibri" w:hAnsi="Calibri"/>
          <w:color w:val="222222"/>
          <w:sz w:val="19"/>
        </w:rPr>
        <w:t>Verified: Standard academic, attendance, and financial reports query SQL tables directly for official report cards. Analytical graph visualization (/api/student-results/{stuId}/graph) queries Neo4j for learning trajectories.</w:t>
      </w:r>
    </w:p>
    <w:p>
      <w:pPr>
        <w:spacing w:after="80" w:line="276" w:lineRule="auto"/>
      </w:pPr>
      <w:r>
        <w:rPr>
          <w:rFonts w:ascii="Calibri" w:hAnsi="Calibri"/>
          <w:b/>
          <w:color w:val="1B365D"/>
          <w:sz w:val="19"/>
        </w:rPr>
        <w:t xml:space="preserve">Status &amp; Breakpoint Assessment: </w:t>
      </w:r>
      <w:r>
        <w:rPr>
          <w:rFonts w:ascii="Calibri" w:hAnsi="Calibri"/>
          <w:color w:val="222222"/>
          <w:sz w:val="19"/>
        </w:rPr>
        <w:t>Confirmed: 110,884 fan-out instances (D10) between Result and Student are intentional by design, preserving per-person exam results across multiple academic year enrollments.</w:t>
      </w:r>
    </w:p>
    <w:p>
      <w:pPr>
        <w:spacing w:after="40"/>
      </w:pPr>
    </w:p>
    <w:p>
      <w:pPr>
        <w:keepNext/>
        <w:spacing w:before="360" w:after="120"/>
      </w:pPr>
      <w:r>
        <w:rPr>
          <w:rFonts w:ascii="Calibri" w:hAnsi="Calibri"/>
          <w:b/>
          <w:color w:val="1B365D"/>
          <w:sz w:val="30"/>
        </w:rPr>
        <w:t>10. SQL Table-to-Neo4j Mapping Inventory</w:t>
      </w:r>
    </w:p>
    <w:p>
      <w:pPr>
        <w:spacing w:after="80" w:line="276" w:lineRule="auto"/>
      </w:pPr>
      <w:r>
        <w:rPr>
          <w:rFonts w:ascii="Calibri" w:hAnsi="Calibri"/>
          <w:color w:val="222222"/>
          <w:sz w:val="19"/>
        </w:rPr>
        <w:t>Comprehensive inventory of mapped SQL source tables, node labels, identity keys, mapped properties, and relationships based on live configuration and database inspection:</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B365D"/>
            <w:tcMar>
              <w:top w:w="140" w:type="dxa"/>
              <w:bottom w:w="140" w:type="dxa"/>
              <w:left w:w="150" w:type="dxa"/>
              <w:right w:w="150" w:type="dxa"/>
            </w:tcMar>
          </w:tcPr>
          <w:p>
            <w:pPr>
              <w:jc w:val="left"/>
            </w:pPr>
            <w:r>
              <w:rPr>
                <w:rFonts w:ascii="Calibri" w:hAnsi="Calibri"/>
                <w:b/>
                <w:color w:val="FFFFFF"/>
                <w:sz w:val="19"/>
              </w:rPr>
              <w:t>SQL Source Table</w:t>
            </w:r>
          </w:p>
        </w:tc>
        <w:tc>
          <w:tcPr>
            <w:tcW w:type="dxa" w:w="1987"/>
            <w:shd w:fill="1B365D"/>
            <w:tcMar>
              <w:top w:w="140" w:type="dxa"/>
              <w:bottom w:w="140" w:type="dxa"/>
              <w:left w:w="150" w:type="dxa"/>
              <w:right w:w="150" w:type="dxa"/>
            </w:tcMar>
          </w:tcPr>
          <w:p>
            <w:pPr>
              <w:jc w:val="left"/>
            </w:pPr>
            <w:r>
              <w:rPr>
                <w:rFonts w:ascii="Calibri" w:hAnsi="Calibri"/>
                <w:b/>
                <w:color w:val="FFFFFF"/>
                <w:sz w:val="19"/>
              </w:rPr>
              <w:t>Neo4j Node Label</w:t>
            </w:r>
          </w:p>
        </w:tc>
        <w:tc>
          <w:tcPr>
            <w:tcW w:type="dxa" w:w="1987"/>
            <w:shd w:fill="1B365D"/>
            <w:tcMar>
              <w:top w:w="140" w:type="dxa"/>
              <w:bottom w:w="140" w:type="dxa"/>
              <w:left w:w="150" w:type="dxa"/>
              <w:right w:w="150" w:type="dxa"/>
            </w:tcMar>
          </w:tcPr>
          <w:p>
            <w:pPr>
              <w:jc w:val="left"/>
            </w:pPr>
            <w:r>
              <w:rPr>
                <w:rFonts w:ascii="Calibri" w:hAnsi="Calibri"/>
                <w:b/>
                <w:color w:val="FFFFFF"/>
                <w:sz w:val="19"/>
              </w:rPr>
              <w:t>Primary Key / Graph ID</w:t>
            </w:r>
          </w:p>
        </w:tc>
        <w:tc>
          <w:tcPr>
            <w:tcW w:type="dxa" w:w="1987"/>
            <w:shd w:fill="1B365D"/>
            <w:tcMar>
              <w:top w:w="140" w:type="dxa"/>
              <w:bottom w:w="140" w:type="dxa"/>
              <w:left w:w="150" w:type="dxa"/>
              <w:right w:w="150" w:type="dxa"/>
            </w:tcMar>
          </w:tcPr>
          <w:p>
            <w:pPr>
              <w:jc w:val="left"/>
            </w:pPr>
            <w:r>
              <w:rPr>
                <w:rFonts w:ascii="Calibri" w:hAnsi="Calibri"/>
                <w:b/>
                <w:color w:val="FFFFFF"/>
                <w:sz w:val="19"/>
              </w:rPr>
              <w:t>Foreign Key / Relationships</w:t>
            </w:r>
          </w:p>
        </w:tc>
        <w:tc>
          <w:tcPr>
            <w:tcW w:type="dxa" w:w="1987"/>
            <w:shd w:fill="1B365D"/>
            <w:tcMar>
              <w:top w:w="140" w:type="dxa"/>
              <w:bottom w:w="140" w:type="dxa"/>
              <w:left w:w="150" w:type="dxa"/>
              <w:right w:w="150" w:type="dxa"/>
            </w:tcMar>
          </w:tcPr>
          <w:p>
            <w:pPr>
              <w:jc w:val="left"/>
            </w:pPr>
            <w:r>
              <w:rPr>
                <w:rFonts w:ascii="Calibri" w:hAnsi="Calibri"/>
                <w:b/>
                <w:color w:val="FFFFFF"/>
                <w:sz w:val="19"/>
              </w:rPr>
              <w:t>Live Status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tblstudent / tblstudent_enrollment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:StuDetail (person) &amp; :Student (enrolment)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sdId / stuId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[:HAS_STUDENT], [:ENROLLED_IN]-&gt;(:Standard)</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(277,578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lms_online_exam</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:Result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resultId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[:HAS_RESULT]&lt;-[:Student], [:FOR_ASSESSMENT]-&gt;(:Assessment)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(149,051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tbluser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:Staff &amp; :Teacher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staffId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[:WORKS_AT]-&gt;(:Institute), [:IN_DEPARTMENT]-&gt;(:Department)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(5,516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standard</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:Standard</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standardId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[:OF_INSTITUTE]-&gt;(:Institute)</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(1,000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sub_std_map</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:Subject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subjectId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[:OFFERED_IN]-&gt;(:Standard)</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(2,676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chapter_master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:Chapter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uid / chId</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[:HAS_CONCEPT]-&gt;(:Concept), [:COVERS_CHAPTER]&lt;-[:Subject]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(4,000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lms_concept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:Concept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conceptId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[:REQUIRES]-&gt;(:Concept), [:CROSS_LINKS]-&gt;(:Concept)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(8,014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lms_lesson_plan</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:Lesson</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lessonId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[:PART_OF]-&gt;(:Chapter)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(721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lms_curriculum</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:Curriculum</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curriculumId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[:INCLUDES]-&gt;(:Subject)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(73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lms_units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:Unit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unitId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[:HAS_CHAPTER]-&gt;(:Chapter)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(195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question_paper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:Assessment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assessmentId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[:HAS_QUESTION]-&gt;(:Question)</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(5,434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lms_question_master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:Question</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qId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[:ASSESSES]-&gt;(:Concept), [:BELONGS_TO]-&gt;(:Chapter)</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(96,884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content_master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:TeachingResource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teachingresourceId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[:HAS_CONTENT]&lt;-[:Chapter]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(32,215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result_create_exam</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:Examination</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examinationId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[:OF_EXAM_TYPE]-&gt;(:ExamType)</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(36,049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result_exam_master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:ExamType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examtypeId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[:IN_CATEGORY]-&gt;(:ExamTypeCategory)</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(1,349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s_users_skills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:Competency</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competencyId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[:HAS_COMPETENCY]&lt;-[:CompetencyFramework]</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Synchronized (5,066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s_competency_frameworks</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:CompetencyFramework</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frameworkId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Framework container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Synchronized (5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division (NEW)</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:Division</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divisionId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[:OF_STANDARD]-&gt;(:Standard)</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Trigger Active (492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academic_year (NEW)</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:AcademicYear</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academicyearId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[:OF_INSTITUTE]-&gt;(:Institute)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Trigger Active (416 nodes)</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hrms_departments (NEW)</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:Department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departmentId (native int)</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[:IN_INSTITUTE]-&gt;(:Institute)</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Trigger Active (113 nodes)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school_setup (NEW)</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:Institute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instituteId (native int)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Root tenant node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Trigger Active (56 nodes)</w:t>
            </w:r>
          </w:p>
        </w:tc>
      </w:tr>
    </w:tbl>
    <w:p>
      <w:pPr>
        <w:spacing w:after="120"/>
      </w:pPr>
    </w:p>
    <w:p>
      <w:pPr>
        <w:keepNext/>
        <w:spacing w:before="360" w:after="120"/>
      </w:pPr>
      <w:r>
        <w:rPr>
          <w:rFonts w:ascii="Calibri" w:hAnsi="Calibri"/>
          <w:b/>
          <w:color w:val="1B365D"/>
          <w:sz w:val="30"/>
        </w:rPr>
        <w:t>11. Synchronization Schedules and Operational Dependencies</w:t>
      </w:r>
    </w:p>
    <w:p>
      <w:pPr>
        <w:spacing w:after="80" w:line="276" w:lineRule="auto"/>
      </w:pPr>
      <w:r>
        <w:rPr>
          <w:rFonts w:ascii="Calibri" w:hAnsi="Calibri"/>
          <w:color w:val="222222"/>
          <w:sz w:val="19"/>
        </w:rPr>
        <w:t>The synchronization engine relies on background processes registered in app\Console\Kernel.php:</w:t>
      </w:r>
    </w:p>
    <w:p>
      <w:pPr>
        <w:spacing w:after="80" w:line="276" w:lineRule="auto"/>
      </w:pPr>
      <w:r>
        <w:rPr>
          <w:rFonts w:ascii="Calibri" w:hAnsi="Calibri"/>
          <w:b/>
          <w:color w:val="1B365D"/>
          <w:sz w:val="19"/>
        </w:rPr>
        <w:t xml:space="preserve">neo4j:drain: </w:t>
      </w:r>
      <w:r>
        <w:rPr>
          <w:rFonts w:ascii="Calibri" w:hAnsi="Calibri"/>
          <w:color w:val="222222"/>
          <w:sz w:val="19"/>
        </w:rPr>
        <w:t>everyMinute()-&gt;withoutOverlapping(5) — Processes pending sync_log and neo4j_sync_queue records. Mutex expires in 5 minutes to prevent deadlocks.</w:t>
      </w:r>
    </w:p>
    <w:p>
      <w:pPr>
        <w:spacing w:after="80" w:line="276" w:lineRule="auto"/>
      </w:pPr>
      <w:r>
        <w:rPr>
          <w:rFonts w:ascii="Calibri" w:hAnsi="Calibri"/>
          <w:b/>
          <w:color w:val="1B365D"/>
          <w:sz w:val="19"/>
        </w:rPr>
        <w:t xml:space="preserve">neo4j:reconcile --limit=2000 --fix: </w:t>
      </w:r>
      <w:r>
        <w:rPr>
          <w:rFonts w:ascii="Calibri" w:hAnsi="Calibri"/>
          <w:color w:val="222222"/>
          <w:sz w:val="19"/>
        </w:rPr>
        <w:t>dailyAt('02:30')-&gt;withoutOverlapping(120) — Nightly sweep detecting and auto-repairing node and edge drift between MariaDB and Neo4j.</w:t>
      </w:r>
    </w:p>
    <w:p>
      <w:pPr>
        <w:spacing w:after="80" w:line="276" w:lineRule="auto"/>
      </w:pPr>
      <w:r>
        <w:rPr>
          <w:rFonts w:ascii="Calibri" w:hAnsi="Calibri"/>
          <w:b/>
          <w:color w:val="1B365D"/>
          <w:sz w:val="19"/>
        </w:rPr>
        <w:t xml:space="preserve">neo4j-outbox-depth: </w:t>
      </w:r>
      <w:r>
        <w:rPr>
          <w:rFonts w:ascii="Calibri" w:hAnsi="Calibri"/>
          <w:color w:val="222222"/>
          <w:sz w:val="19"/>
        </w:rPr>
        <w:t>everyFiveMinutes() — Watchdog checking outbox backlog. Triggers daily error alert if pending count &gt; 1000 or oldest pending row &gt; 15 minutes.</w:t>
      </w:r>
    </w:p>
    <w:p>
      <w:pPr>
        <w:spacing w:after="80" w:line="276" w:lineRule="auto"/>
      </w:pPr>
      <w:r>
        <w:rPr>
          <w:rFonts w:ascii="Calibri" w:hAnsi="Calibri"/>
          <w:b/>
          <w:color w:val="1B365D"/>
          <w:sz w:val="19"/>
        </w:rPr>
        <w:t xml:space="preserve">coherence-mastery-sweep: </w:t>
      </w:r>
      <w:r>
        <w:rPr>
          <w:rFonts w:ascii="Calibri" w:hAnsi="Calibri"/>
          <w:color w:val="222222"/>
          <w:sz w:val="19"/>
        </w:rPr>
        <w:t>everyFiveMinutes()-&gt;withoutOverlapping() — Pushes pending student mastery updates (ConceptMastery) into Neo4j HAS_MASTERY edges.</w:t>
      </w:r>
    </w:p>
    <w:p>
      <w:pPr>
        <w:spacing w:after="80" w:line="276" w:lineRule="auto"/>
      </w:pPr>
      <w:r>
        <w:rPr>
          <w:rFonts w:ascii="Calibri" w:hAnsi="Calibri"/>
          <w:b/>
          <w:color w:val="1B365D"/>
          <w:sz w:val="19"/>
        </w:rPr>
        <w:t xml:space="preserve">coherence-map-nightly-sync: </w:t>
      </w:r>
      <w:r>
        <w:rPr>
          <w:rFonts w:ascii="Calibri" w:hAnsi="Calibri"/>
          <w:color w:val="222222"/>
          <w:sz w:val="19"/>
        </w:rPr>
        <w:t>dailyAt('03:00')-&gt;withoutOverlapping(120) — Nightly full projection across all active standard/subject scopes for concepts, relations, and learning outcomes.</w:t>
      </w:r>
    </w:p>
    <w:p>
      <w:pPr>
        <w:spacing w:after="80" w:line="276" w:lineRule="auto"/>
      </w:pPr>
      <w:r>
        <w:rPr>
          <w:rFonts w:ascii="Calibri" w:hAnsi="Calibri"/>
          <w:b/>
          <w:color w:val="1B365D"/>
          <w:sz w:val="19"/>
        </w:rPr>
        <w:t xml:space="preserve">coherence-content-tagging: </w:t>
      </w:r>
      <w:r>
        <w:rPr>
          <w:rFonts w:ascii="Calibri" w:hAnsi="Calibri"/>
          <w:color w:val="222222"/>
          <w:sz w:val="19"/>
        </w:rPr>
        <w:t>dailyAt('02:00')-&gt;withoutOverlapping(120) — Nightly automated tagging of curriculum content and questions against concepts using heuristic rules.</w:t>
      </w:r>
    </w:p>
    <w:p>
      <w:pPr>
        <w:spacing w:after="80" w:line="276" w:lineRule="auto"/>
      </w:pPr>
      <w:r>
        <w:rPr>
          <w:rFonts w:ascii="Calibri" w:hAnsi="Calibri"/>
          <w:b/>
          <w:color w:val="1B365D"/>
          <w:sz w:val="19"/>
        </w:rPr>
        <w:t xml:space="preserve">pal:tag-content (heuristic): </w:t>
      </w:r>
      <w:r>
        <w:rPr>
          <w:rFonts w:ascii="Calibri" w:hAnsi="Calibri"/>
          <w:color w:val="222222"/>
          <w:sz w:val="19"/>
        </w:rPr>
        <w:t>dailyAt('01:30') &amp; dailyAt('01:45') — Tags Bloom levels and pedagogical metadata over newly uploaded questions and content.</w:t>
      </w:r>
    </w:p>
    <w:tbl>
      <w:tblPr>
        <w:tblW w:type="auto" w:w="0"/>
        <w:jc w:val="center"/>
        <w:tblLook w:firstColumn="1" w:firstRow="1" w:lastColumn="0" w:lastRow="0" w:noHBand="0" w:noVBand="1" w:val="04A0"/>
      </w:tblPr>
      <w:tblGrid>
        <w:gridCol w:w="9936"/>
      </w:tblGrid>
      <w:tr>
        <w:tc>
          <w:tcPr>
            <w:tcW w:type="dxa" w:w="9936"/>
            <w:shd w:fill="FFFBEB"/>
            <w:tcMar>
              <w:top w:w="130" w:type="dxa"/>
              <w:bottom w:w="130" w:type="dxa"/>
              <w:left w:w="180" w:type="dxa"/>
              <w:right w:w="160" w:type="dxa"/>
            </w:tcMar>
            <w:tcBorders>
              <w:left w:val="single" w:sz="24" w:space="0" w:color="F59E0B"/>
              <w:top w:val="none"/>
              <w:right w:val="none"/>
              <w:bottom w:val="none"/>
            </w:tcBorders>
          </w:tcPr>
          <w:p>
            <w:pPr>
              <w:spacing w:before="40" w:after="40"/>
            </w:pPr>
            <w:r>
              <w:rPr>
                <w:rFonts w:ascii="Calibri" w:hAnsi="Calibri"/>
                <w:b/>
                <w:color w:val="B45309"/>
                <w:sz w:val="19"/>
              </w:rPr>
              <w:t xml:space="preserve">[OPERATIONAL DEPENDENCY NOTE] </w:t>
            </w:r>
            <w:r>
              <w:rPr>
                <w:rFonts w:ascii="Calibri" w:hAnsi="Calibri"/>
                <w:color w:val="222222"/>
                <w:sz w:val="18"/>
              </w:rPr>
              <w:t>These scheduled jobs are fully configured in Laravel code. In Linux production, crontab runs `php artisan schedule:run` every minute. In Windows development environments, Windows Task Scheduler or a supervised background loop (`php artisan neo4j:drain --watch=10`) is required.</w:t>
            </w:r>
          </w:p>
        </w:tc>
      </w:tr>
    </w:tbl>
    <w:p>
      <w:pPr>
        <w:spacing w:after="80"/>
      </w:pPr>
    </w:p>
    <w:p>
      <w:pPr>
        <w:keepNext/>
        <w:spacing w:before="360" w:after="120"/>
      </w:pPr>
      <w:r>
        <w:rPr>
          <w:rFonts w:ascii="Calibri" w:hAnsi="Calibri"/>
          <w:b/>
          <w:color w:val="1B365D"/>
          <w:sz w:val="30"/>
        </w:rPr>
        <w:t>12. Pipeline Health and Breakpoint Analysis</w:t>
      </w:r>
    </w:p>
    <w:p>
      <w:pPr>
        <w:spacing w:after="80" w:line="276" w:lineRule="auto"/>
      </w:pPr>
      <w:r>
        <w:rPr>
          <w:rFonts w:ascii="Calibri" w:hAnsi="Calibri"/>
          <w:color w:val="222222"/>
          <w:sz w:val="19"/>
        </w:rPr>
        <w:t>Detailed breakdown of pipeline health, failure gates, and root causes:</w:t>
      </w:r>
    </w:p>
    <w:p>
      <w:pPr>
        <w:spacing w:after="80" w:line="276" w:lineRule="auto"/>
      </w:pPr>
      <w:r>
        <w:rPr>
          <w:rFonts w:ascii="Calibri" w:hAnsi="Calibri"/>
          <w:color w:val="222222"/>
          <w:sz w:val="19"/>
        </w:rPr>
        <w:t>1. Triaged Unrecoverable Queue Rows: 11,363 failed queue rows for Chapter -[HAS_CONTENT]-&gt; TeachingResource were investigated. Confirmed that legacy chapter_master renumbering left content_master rows referencing extinct chapter IDs. Excluded from default retry triage to protect queue throughput.</w:t>
      </w:r>
    </w:p>
    <w:p>
      <w:pPr>
        <w:spacing w:after="80" w:line="276" w:lineRule="auto"/>
      </w:pPr>
      <w:r>
        <w:rPr>
          <w:rFonts w:ascii="Calibri" w:hAnsi="Calibri"/>
          <w:color w:val="222222"/>
          <w:sz w:val="19"/>
        </w:rPr>
        <w:t>2. Upstream Foreign Key Orphans: 17,822 other failed relationship rows (Question-&gt;Chapter: 6,339; Question-&gt;Concept: 4,858; Student-&gt;Assessment: 2,248; Result-&gt;Assessment: 2,225) represent foreign keys pointing to records that do not exist in MariaDB, failing downstream foreign key resolution.</w:t>
      </w:r>
    </w:p>
    <w:p>
      <w:pPr>
        <w:spacing w:after="80" w:line="276" w:lineRule="auto"/>
      </w:pPr>
      <w:r>
        <w:rPr>
          <w:rFonts w:ascii="Calibri" w:hAnsi="Calibri"/>
          <w:color w:val="222222"/>
          <w:sz w:val="19"/>
        </w:rPr>
        <w:t>3. G1 Tenancy Gate: 36,430 nodes lack sub_institute_id entirely (97% older Result nodes from legacy ingest). An approved repair script (g1_result_tenant_backup_execute.php) has been designed to derive the tenant from connected :Student nodes.</w:t>
      </w:r>
    </w:p>
    <w:p>
      <w:pPr>
        <w:spacing w:after="80" w:line="276" w:lineRule="auto"/>
      </w:pPr>
      <w:r>
        <w:rPr>
          <w:rFonts w:ascii="Calibri" w:hAnsi="Calibri"/>
          <w:color w:val="222222"/>
          <w:sz w:val="19"/>
        </w:rPr>
        <w:t>4. G3 Cross-Tenant Edges: 247 genuine cross-tenant edges detected. Upstream batch Cypher scripts have been secured with tenant scoping, preventing new occurrences.</w:t>
      </w:r>
    </w:p>
    <w:p>
      <w:pPr>
        <w:spacing w:after="80" w:line="276" w:lineRule="auto"/>
      </w:pPr>
      <w:r>
        <w:rPr>
          <w:rFonts w:ascii="Calibri" w:hAnsi="Calibri"/>
          <w:color w:val="222222"/>
          <w:sz w:val="19"/>
        </w:rPr>
        <w:t>5. G10 Dangling References: Standard.sub_institute_id-&gt;Institute (160), Unit.curriculum_id-&gt;Curriculum (135), Chapter.unit_id-&gt;Unit (238), Chapter.subject_id-&gt;Subject (3,622). These reflect historical rows where parents exist in MariaDB but were never connected.</w:t>
      </w:r>
    </w:p>
    <w:p>
      <w:pPr>
        <w:spacing w:after="80" w:line="276" w:lineRule="auto"/>
      </w:pPr>
      <w:r>
        <w:rPr>
          <w:rFonts w:ascii="Calibri" w:hAnsi="Calibri"/>
          <w:color w:val="222222"/>
          <w:sz w:val="19"/>
        </w:rPr>
        <w:t>6. G8 Tier A Orphans: 680 Subject nodes, 158 Standard nodes, and 129 Unit nodes have existing parents in MariaDB but no graph edges, requiring a reconcile pass.</w:t>
      </w:r>
    </w:p>
    <w:p>
      <w:pPr>
        <w:spacing w:after="80" w:line="276" w:lineRule="auto"/>
      </w:pPr>
      <w:r>
        <w:rPr>
          <w:rFonts w:ascii="Calibri" w:hAnsi="Calibri"/>
          <w:color w:val="222222"/>
          <w:sz w:val="19"/>
        </w:rPr>
        <w:t>7. G11 Empty Labels: 14 tables reported zero nodes, primarily comprising 10 O*NET career taxonomy tables whose data is mapped under unified :JobRole and :Skill labels.</w:t>
      </w:r>
    </w:p>
    <w:p>
      <w:pPr>
        <w:keepNext/>
        <w:spacing w:before="360" w:after="120"/>
      </w:pPr>
      <w:r>
        <w:rPr>
          <w:rFonts w:ascii="Calibri" w:hAnsi="Calibri"/>
          <w:b/>
          <w:color w:val="1B365D"/>
          <w:sz w:val="30"/>
        </w:rPr>
        <w:t>13. Data Consistency and Integrity Findings</w:t>
      </w:r>
    </w:p>
    <w:p>
      <w:pPr>
        <w:spacing w:after="80" w:line="276" w:lineRule="auto"/>
      </w:pPr>
      <w:r>
        <w:rPr>
          <w:rFonts w:ascii="Calibri" w:hAnsi="Calibri"/>
          <w:color w:val="222222"/>
          <w:sz w:val="19"/>
        </w:rPr>
        <w:t>• Tenancy Integrity: 806,951 nodes are native-keyed without composite UIDs, which is accepted by design as architectural. Genuine tenancy gaps are limited to 36,723 nodes (3.7% of graph).</w:t>
      </w:r>
    </w:p>
    <w:p>
      <w:pPr>
        <w:spacing w:after="80" w:line="276" w:lineRule="auto"/>
      </w:pPr>
      <w:r>
        <w:rPr>
          <w:rFonts w:ascii="Calibri" w:hAnsi="Calibri"/>
          <w:color w:val="222222"/>
          <w:sz w:val="19"/>
        </w:rPr>
        <w:t>• UID Uniqueness (G2): Verified 100% PASS with 0 duplicate UIDs.</w:t>
      </w:r>
    </w:p>
    <w:p>
      <w:pPr>
        <w:spacing w:after="80" w:line="276" w:lineRule="auto"/>
      </w:pPr>
      <w:r>
        <w:rPr>
          <w:rFonts w:ascii="Calibri" w:hAnsi="Calibri"/>
          <w:color w:val="222222"/>
          <w:sz w:val="19"/>
        </w:rPr>
        <w:t>• Student/Result Modeling (D10 / G4): 110,884 fan-out instances are verified intentional. A Result represents a person's exam sitting, while Student represents enrollment records across academic years.</w:t>
      </w:r>
    </w:p>
    <w:p>
      <w:pPr>
        <w:spacing w:after="80" w:line="276" w:lineRule="auto"/>
      </w:pPr>
      <w:r>
        <w:rPr>
          <w:rFonts w:ascii="Calibri" w:hAnsi="Calibri"/>
          <w:color w:val="222222"/>
          <w:sz w:val="19"/>
        </w:rPr>
        <w:t>• Cypher Bare-PK Corrections: Live diff inspection confirms that multi-tenant bare-PK queries in 30_result.cypher, 50_operations.cypher, 60_finance.cypher, and 70_skills.cypher have all been corrected with sub_institute_id matching on both ends.</w:t>
      </w:r>
    </w:p>
    <w:p>
      <w:pPr>
        <w:keepNext/>
        <w:spacing w:before="360" w:after="120"/>
      </w:pPr>
      <w:r>
        <w:rPr>
          <w:rFonts w:ascii="Calibri" w:hAnsi="Calibri"/>
          <w:b/>
          <w:color w:val="1B365D"/>
          <w:sz w:val="30"/>
        </w:rPr>
        <w:t>14. Duplicate Ownership and Overlapping Pipeline Analysis</w:t>
      </w:r>
    </w:p>
    <w:p>
      <w:pPr>
        <w:spacing w:after="80" w:line="276" w:lineRule="auto"/>
      </w:pPr>
      <w:r>
        <w:rPr>
          <w:rFonts w:ascii="Calibri" w:hAnsi="Calibri"/>
          <w:color w:val="222222"/>
          <w:sz w:val="19"/>
        </w:rPr>
        <w:t>The audit evaluated potential collision points where multiple pipelines interact with the same graph structures:</w:t>
      </w:r>
    </w:p>
    <w:p>
      <w:pPr>
        <w:spacing w:after="80" w:line="276" w:lineRule="auto"/>
      </w:pPr>
      <w:r>
        <w:rPr>
          <w:rFonts w:ascii="Calibri" w:hAnsi="Calibri"/>
          <w:color w:val="222222"/>
          <w:sz w:val="19"/>
        </w:rPr>
        <w:t>• Pipeline A vs Pipeline C Collision (Prevented): LoadCommand.php now explicitly refuses to load standard, lms_lesson_plan, and sub_std_map via batch CSV, ensuring only Pipeline A writes to these labels and preventing 2x node duplication.</w:t>
      </w:r>
    </w:p>
    <w:p>
      <w:pPr>
        <w:spacing w:after="80" w:line="276" w:lineRule="auto"/>
      </w:pPr>
      <w:r>
        <w:rPr>
          <w:rFonts w:ascii="Calibri" w:hAnsi="Calibri"/>
          <w:color w:val="222222"/>
          <w:sz w:val="19"/>
        </w:rPr>
        <w:t>• Pipeline A vs Pipeline B Collision (Resolved): Both pipelines write to (:Question)-[:ASSESSES]-&gt;(:Concept). Pipeline A writes property-less edges from question_paper FKs. Pipeline B (CoherenceGraphProjection) enriches edges with quality_status and confidence scores. Live measurement confirms they do not clobber each other; MERGE targets identical endpoints.</w:t>
      </w:r>
    </w:p>
    <w:p>
      <w:pPr>
        <w:spacing w:after="80" w:line="276" w:lineRule="auto"/>
      </w:pPr>
      <w:r>
        <w:rPr>
          <w:rFonts w:ascii="Calibri" w:hAnsi="Calibri"/>
          <w:color w:val="222222"/>
          <w:sz w:val="19"/>
        </w:rPr>
        <w:t>• Bespoke vs Generic Projection Precedence: ProjectionRegistry enforces strict precedence, routing tblstudent, tblstudent_enrollment, tbluser, and lms_online_exam to dedicated bespoke classes before falling back to TableGraphProjection.</w:t>
      </w:r>
    </w:p>
    <w:p>
      <w:pPr>
        <w:keepNext/>
        <w:spacing w:before="360" w:after="120"/>
      </w:pPr>
      <w:r>
        <w:rPr>
          <w:rFonts w:ascii="Calibri" w:hAnsi="Calibri"/>
          <w:b/>
          <w:color w:val="1B365D"/>
          <w:sz w:val="30"/>
        </w:rPr>
        <w:t>15. Confirmed Issues, Probable Issues, and Unverified Risks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656"/>
        <w:gridCol w:w="1656"/>
        <w:gridCol w:w="1656"/>
        <w:gridCol w:w="1656"/>
        <w:gridCol w:w="1656"/>
        <w:gridCol w:w="1656"/>
      </w:tblGrid>
      <w:tr>
        <w:tc>
          <w:tcPr>
            <w:tcW w:type="dxa" w:w="1656"/>
            <w:shd w:fill="1B365D"/>
            <w:tcMar>
              <w:top w:w="140" w:type="dxa"/>
              <w:bottom w:w="140" w:type="dxa"/>
              <w:left w:w="150" w:type="dxa"/>
              <w:right w:w="150" w:type="dxa"/>
            </w:tcMar>
          </w:tcPr>
          <w:p>
            <w:pPr>
              <w:jc w:val="left"/>
            </w:pPr>
            <w:r>
              <w:rPr>
                <w:rFonts w:ascii="Calibri" w:hAnsi="Calibri"/>
                <w:b/>
                <w:color w:val="FFFFFF"/>
                <w:sz w:val="19"/>
              </w:rPr>
              <w:t>Issue ID</w:t>
            </w:r>
          </w:p>
        </w:tc>
        <w:tc>
          <w:tcPr>
            <w:tcW w:type="dxa" w:w="1656"/>
            <w:shd w:fill="1B365D"/>
            <w:tcMar>
              <w:top w:w="140" w:type="dxa"/>
              <w:bottom w:w="140" w:type="dxa"/>
              <w:left w:w="150" w:type="dxa"/>
              <w:right w:w="150" w:type="dxa"/>
            </w:tcMar>
          </w:tcPr>
          <w:p>
            <w:pPr>
              <w:jc w:val="left"/>
            </w:pPr>
            <w:r>
              <w:rPr>
                <w:rFonts w:ascii="Calibri" w:hAnsi="Calibri"/>
                <w:b/>
                <w:color w:val="FFFFFF"/>
                <w:sz w:val="19"/>
              </w:rPr>
              <w:t>Category / Pipeline</w:t>
            </w:r>
          </w:p>
        </w:tc>
        <w:tc>
          <w:tcPr>
            <w:tcW w:type="dxa" w:w="1656"/>
            <w:shd w:fill="1B365D"/>
            <w:tcMar>
              <w:top w:w="140" w:type="dxa"/>
              <w:bottom w:w="140" w:type="dxa"/>
              <w:left w:w="150" w:type="dxa"/>
              <w:right w:w="150" w:type="dxa"/>
            </w:tcMar>
          </w:tcPr>
          <w:p>
            <w:pPr>
              <w:jc w:val="left"/>
            </w:pPr>
            <w:r>
              <w:rPr>
                <w:rFonts w:ascii="Calibri" w:hAnsi="Calibri"/>
                <w:b/>
                <w:color w:val="FFFFFF"/>
                <w:sz w:val="19"/>
              </w:rPr>
              <w:t>Severity</w:t>
            </w:r>
          </w:p>
        </w:tc>
        <w:tc>
          <w:tcPr>
            <w:tcW w:type="dxa" w:w="1656"/>
            <w:shd w:fill="1B365D"/>
            <w:tcMar>
              <w:top w:w="140" w:type="dxa"/>
              <w:bottom w:w="140" w:type="dxa"/>
              <w:left w:w="150" w:type="dxa"/>
              <w:right w:w="150" w:type="dxa"/>
            </w:tcMar>
          </w:tcPr>
          <w:p>
            <w:pPr>
              <w:jc w:val="left"/>
            </w:pPr>
            <w:r>
              <w:rPr>
                <w:rFonts w:ascii="Calibri" w:hAnsi="Calibri"/>
                <w:b/>
                <w:color w:val="FFFFFF"/>
                <w:sz w:val="19"/>
              </w:rPr>
              <w:t>Confidence</w:t>
            </w:r>
          </w:p>
        </w:tc>
        <w:tc>
          <w:tcPr>
            <w:tcW w:type="dxa" w:w="1656"/>
            <w:shd w:fill="1B365D"/>
            <w:tcMar>
              <w:top w:w="140" w:type="dxa"/>
              <w:bottom w:w="140" w:type="dxa"/>
              <w:left w:w="150" w:type="dxa"/>
              <w:right w:w="150" w:type="dxa"/>
            </w:tcMar>
          </w:tcPr>
          <w:p>
            <w:pPr>
              <w:jc w:val="left"/>
            </w:pPr>
            <w:r>
              <w:rPr>
                <w:rFonts w:ascii="Calibri" w:hAnsi="Calibri"/>
                <w:b/>
                <w:color w:val="FFFFFF"/>
                <w:sz w:val="19"/>
              </w:rPr>
              <w:t>Identified Condition</w:t>
            </w:r>
          </w:p>
        </w:tc>
        <w:tc>
          <w:tcPr>
            <w:tcW w:type="dxa" w:w="1656"/>
            <w:shd w:fill="1B365D"/>
            <w:tcMar>
              <w:top w:w="140" w:type="dxa"/>
              <w:bottom w:w="140" w:type="dxa"/>
              <w:left w:w="150" w:type="dxa"/>
              <w:right w:w="150" w:type="dxa"/>
            </w:tcMar>
          </w:tcPr>
          <w:p>
            <w:pPr>
              <w:jc w:val="left"/>
            </w:pPr>
            <w:r>
              <w:rPr>
                <w:rFonts w:ascii="Calibri" w:hAnsi="Calibri"/>
                <w:b/>
                <w:color w:val="FFFFFF"/>
                <w:sz w:val="19"/>
              </w:rPr>
              <w:t>Remediation Status</w:t>
            </w:r>
          </w:p>
        </w:tc>
      </w:tr>
      <w:tr>
        <w:tc>
          <w:tcPr>
            <w:tcW w:type="dxa" w:w="1656"/>
            <w:shd w:fill="FFFFFF"/>
            <w:tcMar>
              <w:top w:w="100" w:type="dxa"/>
              <w:bottom w:w="100" w:type="dxa"/>
              <w:left w:w="140" w:type="dxa"/>
              <w:right w:w="140" w:type="dxa"/>
            </w:tcMar>
          </w:tcPr>
          <w:p>
            <w:pPr>
              <w:jc w:val="left"/>
            </w:pPr>
            <w:r>
              <w:rPr>
                <w:rFonts w:ascii="Calibri" w:hAnsi="Calibri"/>
                <w:b/>
                <w:i w:val="0"/>
                <w:color w:val="222222"/>
                <w:sz w:val="18"/>
              </w:rPr>
              <w:t>ISS-01</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Foundation Triggers / Pipeline A</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High</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Missing live triggers on division, academic_year, hrms_departments, school_setup</w:t>
            </w:r>
          </w:p>
        </w:tc>
        <w:tc>
          <w:tcPr>
            <w:tcW w:type="dxa" w:w="1656"/>
            <w:shd w:fill="FFFFFF"/>
            <w:tcMar>
              <w:top w:w="100" w:type="dxa"/>
              <w:bottom w:w="100" w:type="dxa"/>
              <w:left w:w="140" w:type="dxa"/>
              <w:right w:w="140" w:type="dxa"/>
            </w:tcMar>
          </w:tcPr>
          <w:p>
            <w:pPr>
              <w:jc w:val="left"/>
            </w:pPr>
            <w:r>
              <w:rPr>
                <w:rFonts w:ascii="Calibri" w:hAnsi="Calibri"/>
                <w:b w:val="0"/>
                <w:i w:val="0"/>
                <w:color w:val="166534"/>
                <w:sz w:val="18"/>
              </w:rPr>
              <w:t>FIXED (Migrations ran; 12 triggers active)</w:t>
            </w:r>
          </w:p>
        </w:tc>
      </w:tr>
      <w:tr>
        <w:tc>
          <w:tcPr>
            <w:tcW w:type="dxa" w:w="1656"/>
            <w:shd w:fill="F1F5F9"/>
            <w:tcMar>
              <w:top w:w="100" w:type="dxa"/>
              <w:bottom w:w="100" w:type="dxa"/>
              <w:left w:w="140" w:type="dxa"/>
              <w:right w:w="140" w:type="dxa"/>
            </w:tcMar>
          </w:tcPr>
          <w:p>
            <w:pPr>
              <w:jc w:val="left"/>
            </w:pPr>
            <w:r>
              <w:rPr>
                <w:rFonts w:ascii="Calibri" w:hAnsi="Calibri"/>
                <w:b/>
                <w:i w:val="0"/>
                <w:color w:val="222222"/>
                <w:sz w:val="18"/>
              </w:rPr>
              <w:t>ISS-02</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Unrecoverable Queue / Pipeline A</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Medium</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11,363 failed Chapter-HAS_CONTENT rows continually retrying</w:t>
            </w:r>
          </w:p>
        </w:tc>
        <w:tc>
          <w:tcPr>
            <w:tcW w:type="dxa" w:w="1656"/>
            <w:shd w:fill="F1F5F9"/>
            <w:tcMar>
              <w:top w:w="100" w:type="dxa"/>
              <w:bottom w:w="100" w:type="dxa"/>
              <w:left w:w="140" w:type="dxa"/>
              <w:right w:w="140" w:type="dxa"/>
            </w:tcMar>
          </w:tcPr>
          <w:p>
            <w:pPr>
              <w:jc w:val="left"/>
            </w:pPr>
            <w:r>
              <w:rPr>
                <w:rFonts w:ascii="Calibri" w:hAnsi="Calibri"/>
                <w:b w:val="0"/>
                <w:i w:val="0"/>
                <w:color w:val="166534"/>
                <w:sz w:val="18"/>
              </w:rPr>
              <w:t>FIXED (Classified UNRECOVERABLE in triage)</w:t>
            </w:r>
          </w:p>
        </w:tc>
      </w:tr>
      <w:tr>
        <w:tc>
          <w:tcPr>
            <w:tcW w:type="dxa" w:w="1656"/>
            <w:shd w:fill="FFFFFF"/>
            <w:tcMar>
              <w:top w:w="100" w:type="dxa"/>
              <w:bottom w:w="100" w:type="dxa"/>
              <w:left w:w="140" w:type="dxa"/>
              <w:right w:w="140" w:type="dxa"/>
            </w:tcMar>
          </w:tcPr>
          <w:p>
            <w:pPr>
              <w:jc w:val="left"/>
            </w:pPr>
            <w:r>
              <w:rPr>
                <w:rFonts w:ascii="Calibri" w:hAnsi="Calibri"/>
                <w:b/>
                <w:i w:val="0"/>
                <w:color w:val="222222"/>
                <w:sz w:val="18"/>
              </w:rPr>
              <w:t>ISS-03</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Dual-Key Duplication / Pipeline C</w:t>
            </w:r>
          </w:p>
        </w:tc>
        <w:tc>
          <w:tcPr>
            <w:tcW w:type="dxa" w:w="1656"/>
            <w:shd w:fill="FFFFFF"/>
            <w:tcMar>
              <w:top w:w="100" w:type="dxa"/>
              <w:bottom w:w="100" w:type="dxa"/>
              <w:left w:w="140" w:type="dxa"/>
              <w:right w:w="140" w:type="dxa"/>
            </w:tcMar>
          </w:tcPr>
          <w:p>
            <w:pPr>
              <w:jc w:val="left"/>
            </w:pPr>
            <w:r>
              <w:rPr>
                <w:rFonts w:ascii="Calibri" w:hAnsi="Calibri"/>
                <w:b w:val="0"/>
                <w:i w:val="0"/>
                <w:color w:val="991B1B"/>
                <w:sz w:val="18"/>
              </w:rPr>
              <w:t>Critical</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LoadCommand reloading Pipeline A entities with UIDs causing 2x nodes</w:t>
            </w:r>
          </w:p>
        </w:tc>
        <w:tc>
          <w:tcPr>
            <w:tcW w:type="dxa" w:w="1656"/>
            <w:shd w:fill="FFFFFF"/>
            <w:tcMar>
              <w:top w:w="100" w:type="dxa"/>
              <w:bottom w:w="100" w:type="dxa"/>
              <w:left w:w="140" w:type="dxa"/>
              <w:right w:w="140" w:type="dxa"/>
            </w:tcMar>
          </w:tcPr>
          <w:p>
            <w:pPr>
              <w:jc w:val="left"/>
            </w:pPr>
            <w:r>
              <w:rPr>
                <w:rFonts w:ascii="Calibri" w:hAnsi="Calibri"/>
                <w:b w:val="0"/>
                <w:i w:val="0"/>
                <w:color w:val="166534"/>
                <w:sz w:val="18"/>
              </w:rPr>
              <w:t>FIXED (Hard guard added to LoadCommand)</w:t>
            </w:r>
          </w:p>
        </w:tc>
      </w:tr>
      <w:tr>
        <w:tc>
          <w:tcPr>
            <w:tcW w:type="dxa" w:w="1656"/>
            <w:shd w:fill="F1F5F9"/>
            <w:tcMar>
              <w:top w:w="100" w:type="dxa"/>
              <w:bottom w:w="100" w:type="dxa"/>
              <w:left w:w="140" w:type="dxa"/>
              <w:right w:w="140" w:type="dxa"/>
            </w:tcMar>
          </w:tcPr>
          <w:p>
            <w:pPr>
              <w:jc w:val="left"/>
            </w:pPr>
            <w:r>
              <w:rPr>
                <w:rFonts w:ascii="Calibri" w:hAnsi="Calibri"/>
                <w:b/>
                <w:i w:val="0"/>
                <w:color w:val="222222"/>
                <w:sz w:val="18"/>
              </w:rPr>
              <w:t>ISS-04</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Cross-Tenant Cypher / Pipeline C</w:t>
            </w:r>
          </w:p>
        </w:tc>
        <w:tc>
          <w:tcPr>
            <w:tcW w:type="dxa" w:w="1656"/>
            <w:shd w:fill="F1F5F9"/>
            <w:tcMar>
              <w:top w:w="100" w:type="dxa"/>
              <w:bottom w:w="100" w:type="dxa"/>
              <w:left w:w="140" w:type="dxa"/>
              <w:right w:w="140" w:type="dxa"/>
            </w:tcMar>
          </w:tcPr>
          <w:p>
            <w:pPr>
              <w:jc w:val="left"/>
            </w:pPr>
            <w:r>
              <w:rPr>
                <w:rFonts w:ascii="Calibri" w:hAnsi="Calibri"/>
                <w:b w:val="0"/>
                <w:i w:val="0"/>
                <w:color w:val="991B1B"/>
                <w:sz w:val="18"/>
              </w:rPr>
              <w:t>Critical</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Bare-PK MATCH in result, operations, finance, skills cypher scripts</w:t>
            </w:r>
          </w:p>
        </w:tc>
        <w:tc>
          <w:tcPr>
            <w:tcW w:type="dxa" w:w="1656"/>
            <w:shd w:fill="F1F5F9"/>
            <w:tcMar>
              <w:top w:w="100" w:type="dxa"/>
              <w:bottom w:w="100" w:type="dxa"/>
              <w:left w:w="140" w:type="dxa"/>
              <w:right w:w="140" w:type="dxa"/>
            </w:tcMar>
          </w:tcPr>
          <w:p>
            <w:pPr>
              <w:jc w:val="left"/>
            </w:pPr>
            <w:r>
              <w:rPr>
                <w:rFonts w:ascii="Calibri" w:hAnsi="Calibri"/>
                <w:b w:val="0"/>
                <w:i w:val="0"/>
                <w:color w:val="166534"/>
                <w:sz w:val="18"/>
              </w:rPr>
              <w:t>FIXED (Tenant scoping added to Cypher)</w:t>
            </w:r>
          </w:p>
        </w:tc>
      </w:tr>
      <w:tr>
        <w:tc>
          <w:tcPr>
            <w:tcW w:type="dxa" w:w="1656"/>
            <w:shd w:fill="FFFFFF"/>
            <w:tcMar>
              <w:top w:w="100" w:type="dxa"/>
              <w:bottom w:w="100" w:type="dxa"/>
              <w:left w:w="140" w:type="dxa"/>
              <w:right w:w="140" w:type="dxa"/>
            </w:tcMar>
          </w:tcPr>
          <w:p>
            <w:pPr>
              <w:jc w:val="left"/>
            </w:pPr>
            <w:r>
              <w:rPr>
                <w:rFonts w:ascii="Calibri" w:hAnsi="Calibri"/>
                <w:b/>
                <w:i w:val="0"/>
                <w:color w:val="222222"/>
                <w:sz w:val="18"/>
              </w:rPr>
              <w:t>ISS-05</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Tenancy Gaps (G1) / Neo4j Graph</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Medium</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36,430 historical :Result nodes lack sub_institute_id</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Pending Approval (Backfill script designed)</w:t>
            </w:r>
          </w:p>
        </w:tc>
      </w:tr>
      <w:tr>
        <w:tc>
          <w:tcPr>
            <w:tcW w:type="dxa" w:w="1656"/>
            <w:shd w:fill="F1F5F9"/>
            <w:tcMar>
              <w:top w:w="100" w:type="dxa"/>
              <w:bottom w:w="100" w:type="dxa"/>
              <w:left w:w="140" w:type="dxa"/>
              <w:right w:w="140" w:type="dxa"/>
            </w:tcMar>
          </w:tcPr>
          <w:p>
            <w:pPr>
              <w:jc w:val="left"/>
            </w:pPr>
            <w:r>
              <w:rPr>
                <w:rFonts w:ascii="Calibri" w:hAnsi="Calibri"/>
                <w:b/>
                <w:i w:val="0"/>
                <w:color w:val="222222"/>
                <w:sz w:val="18"/>
              </w:rPr>
              <w:t>ISS-06</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Cross-Tenant Edges (G3) / Graph</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Medium</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247 genuine cross-tenant edges remaining from legacy loads</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Pending Approval (Cleanup query designed)</w:t>
            </w:r>
          </w:p>
        </w:tc>
      </w:tr>
      <w:tr>
        <w:tc>
          <w:tcPr>
            <w:tcW w:type="dxa" w:w="1656"/>
            <w:shd w:fill="FFFFFF"/>
            <w:tcMar>
              <w:top w:w="100" w:type="dxa"/>
              <w:bottom w:w="100" w:type="dxa"/>
              <w:left w:w="140" w:type="dxa"/>
              <w:right w:w="140" w:type="dxa"/>
            </w:tcMar>
          </w:tcPr>
          <w:p>
            <w:pPr>
              <w:jc w:val="left"/>
            </w:pPr>
            <w:r>
              <w:rPr>
                <w:rFonts w:ascii="Calibri" w:hAnsi="Calibri"/>
                <w:b/>
                <w:i w:val="0"/>
                <w:color w:val="222222"/>
                <w:sz w:val="18"/>
              </w:rPr>
              <w:t>ISS-07</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Dangling FKs (G10) / Upstream SQL</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Low</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Confirmed</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17,822 queue rows fail due to orphaned foreign keys in SQL tables</w:t>
            </w:r>
          </w:p>
        </w:tc>
        <w:tc>
          <w:tcPr>
            <w:tcW w:type="dxa" w:w="1656"/>
            <w:shd w:fill="FFFFFF"/>
            <w:tcMar>
              <w:top w:w="100" w:type="dxa"/>
              <w:bottom w:w="100" w:type="dxa"/>
              <w:left w:w="140" w:type="dxa"/>
              <w:right w:w="140" w:type="dxa"/>
            </w:tcMar>
          </w:tcPr>
          <w:p>
            <w:pPr>
              <w:jc w:val="left"/>
            </w:pPr>
            <w:r>
              <w:rPr>
                <w:rFonts w:ascii="Calibri" w:hAnsi="Calibri"/>
                <w:b w:val="0"/>
                <w:i w:val="0"/>
                <w:color w:val="222222"/>
                <w:sz w:val="18"/>
              </w:rPr>
              <w:t>Upstream Data Hygiene Required</w:t>
            </w:r>
          </w:p>
        </w:tc>
      </w:tr>
      <w:tr>
        <w:tc>
          <w:tcPr>
            <w:tcW w:type="dxa" w:w="1656"/>
            <w:shd w:fill="F1F5F9"/>
            <w:tcMar>
              <w:top w:w="100" w:type="dxa"/>
              <w:bottom w:w="100" w:type="dxa"/>
              <w:left w:w="140" w:type="dxa"/>
              <w:right w:w="140" w:type="dxa"/>
            </w:tcMar>
          </w:tcPr>
          <w:p>
            <w:pPr>
              <w:jc w:val="left"/>
            </w:pPr>
            <w:r>
              <w:rPr>
                <w:rFonts w:ascii="Calibri" w:hAnsi="Calibri"/>
                <w:b/>
                <w:i w:val="0"/>
                <w:color w:val="222222"/>
                <w:sz w:val="18"/>
              </w:rPr>
              <w:t>ISS-08</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Scheduler Host Execution / Ops</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Medium</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Probable</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Windows dev environments lack active crontab for scheduled tasks</w:t>
            </w:r>
          </w:p>
        </w:tc>
        <w:tc>
          <w:tcPr>
            <w:tcW w:type="dxa" w:w="1656"/>
            <w:shd w:fill="F1F5F9"/>
            <w:tcMar>
              <w:top w:w="100" w:type="dxa"/>
              <w:bottom w:w="100" w:type="dxa"/>
              <w:left w:w="140" w:type="dxa"/>
              <w:right w:w="140" w:type="dxa"/>
            </w:tcMar>
          </w:tcPr>
          <w:p>
            <w:pPr>
              <w:jc w:val="left"/>
            </w:pPr>
            <w:r>
              <w:rPr>
                <w:rFonts w:ascii="Calibri" w:hAnsi="Calibri"/>
                <w:b w:val="0"/>
                <w:i w:val="0"/>
                <w:color w:val="222222"/>
                <w:sz w:val="18"/>
              </w:rPr>
              <w:t>Requires Supervisor or Scheduled Task</w:t>
            </w:r>
          </w:p>
        </w:tc>
      </w:tr>
    </w:tbl>
    <w:p>
      <w:pPr>
        <w:spacing w:after="120"/>
      </w:pPr>
    </w:p>
    <w:p>
      <w:pPr>
        <w:keepNext/>
        <w:spacing w:before="360" w:after="120"/>
      </w:pPr>
      <w:r>
        <w:rPr>
          <w:rFonts w:ascii="Calibri" w:hAnsi="Calibri"/>
          <w:b/>
          <w:color w:val="1B365D"/>
          <w:sz w:val="30"/>
        </w:rPr>
        <w:t>16. Evidence Register</w:t>
      </w:r>
    </w:p>
    <w:p>
      <w:pPr>
        <w:spacing w:after="80" w:line="276" w:lineRule="auto"/>
      </w:pPr>
      <w:r>
        <w:rPr>
          <w:rFonts w:ascii="Calibri" w:hAnsi="Calibri"/>
          <w:color w:val="222222"/>
          <w:sz w:val="19"/>
        </w:rPr>
        <w:t>Comprehensive register of verified codebase files, configuration paths, migrations, and live database queries supporting this audit:</w:t>
      </w:r>
    </w:p>
    <w:p>
      <w:pPr>
        <w:spacing w:after="80" w:line="276" w:lineRule="auto"/>
      </w:pPr>
      <w:r>
        <w:rPr>
          <w:rFonts w:ascii="Calibri" w:hAnsi="Calibri"/>
          <w:b/>
          <w:color w:val="1B365D"/>
          <w:sz w:val="19"/>
        </w:rPr>
        <w:t xml:space="preserve">Config Files: </w:t>
      </w:r>
      <w:r>
        <w:rPr>
          <w:rFonts w:ascii="Calibri" w:hAnsi="Calibri"/>
          <w:color w:val="222222"/>
          <w:sz w:val="19"/>
        </w:rPr>
        <w:t>config\neo4j.php (sync switches, entity specs, budgets), config\neo4j_graph.php (table registry)</w:t>
      </w:r>
    </w:p>
    <w:p>
      <w:pPr>
        <w:spacing w:after="80" w:line="276" w:lineRule="auto"/>
      </w:pPr>
      <w:r>
        <w:rPr>
          <w:rFonts w:ascii="Calibri" w:hAnsi="Calibri"/>
          <w:b/>
          <w:color w:val="1B365D"/>
          <w:sz w:val="19"/>
        </w:rPr>
        <w:t xml:space="preserve">Active Migrations: </w:t>
      </w:r>
      <w:r>
        <w:rPr>
          <w:rFonts w:ascii="Calibri" w:hAnsi="Calibri"/>
          <w:color w:val="222222"/>
          <w:sz w:val="19"/>
        </w:rPr>
        <w:t>database\migrations\2026_10_29_100000_create_neo4j_sync_trigger_division.php to 100300 (Ran, batch 683-686)</w:t>
      </w:r>
    </w:p>
    <w:p>
      <w:pPr>
        <w:spacing w:after="80" w:line="276" w:lineRule="auto"/>
      </w:pPr>
      <w:r>
        <w:rPr>
          <w:rFonts w:ascii="Calibri" w:hAnsi="Calibri"/>
          <w:b/>
          <w:color w:val="1B365D"/>
          <w:sz w:val="19"/>
        </w:rPr>
        <w:t xml:space="preserve">Original Triggers: </w:t>
      </w:r>
      <w:r>
        <w:rPr>
          <w:rFonts w:ascii="Calibri" w:hAnsi="Calibri"/>
          <w:color w:val="222222"/>
          <w:sz w:val="19"/>
        </w:rPr>
        <w:t>database\migrations\2026_08_21_100100_create_neo4j_sync_triggers.php (50 initial tables)</w:t>
      </w:r>
    </w:p>
    <w:p>
      <w:pPr>
        <w:spacing w:after="80" w:line="276" w:lineRule="auto"/>
      </w:pPr>
      <w:r>
        <w:rPr>
          <w:rFonts w:ascii="Calibri" w:hAnsi="Calibri"/>
          <w:b/>
          <w:color w:val="1B365D"/>
          <w:sz w:val="19"/>
        </w:rPr>
        <w:t xml:space="preserve">Core Projections: </w:t>
      </w:r>
      <w:r>
        <w:rPr>
          <w:rFonts w:ascii="Calibri" w:hAnsi="Calibri"/>
          <w:color w:val="222222"/>
          <w:sz w:val="19"/>
        </w:rPr>
        <w:t>app\Services\Graph\TableGraphProjection.php, StudentGraphProjection.php, StaffGraphProjection.php, ResultGraphProjection.php, CoherenceGraphProjection.php</w:t>
      </w:r>
    </w:p>
    <w:p>
      <w:pPr>
        <w:spacing w:after="80" w:line="276" w:lineRule="auto"/>
      </w:pPr>
      <w:r>
        <w:rPr>
          <w:rFonts w:ascii="Calibri" w:hAnsi="Calibri"/>
          <w:b/>
          <w:color w:val="1B365D"/>
          <w:sz w:val="19"/>
        </w:rPr>
        <w:t xml:space="preserve">Outbox Services: </w:t>
      </w:r>
      <w:r>
        <w:rPr>
          <w:rFonts w:ascii="Calibri" w:hAnsi="Calibri"/>
          <w:color w:val="222222"/>
          <w:sz w:val="19"/>
        </w:rPr>
        <w:t>app\Services\Graph\GraphDrain.php, GraphOutbox.php, GraphSync.php, ProjectionRegistry.php</w:t>
      </w:r>
    </w:p>
    <w:p>
      <w:pPr>
        <w:spacing w:after="80" w:line="276" w:lineRule="auto"/>
      </w:pPr>
      <w:r>
        <w:rPr>
          <w:rFonts w:ascii="Calibri" w:hAnsi="Calibri"/>
          <w:b/>
          <w:color w:val="1B365D"/>
          <w:sz w:val="19"/>
        </w:rPr>
        <w:t xml:space="preserve">Artisan Commands: </w:t>
      </w:r>
      <w:r>
        <w:rPr>
          <w:rFonts w:ascii="Calibri" w:hAnsi="Calibri"/>
          <w:color w:val="222222"/>
          <w:sz w:val="19"/>
        </w:rPr>
        <w:t>app\Console\Commands\Neo4j\DrainCommand.php, VerifyCommand.php, CompletenessReportCommand.php, FailedQueueTriageCommand.php, LoadCommand.php, ReconcileCommand.php</w:t>
      </w:r>
    </w:p>
    <w:p>
      <w:pPr>
        <w:spacing w:after="80" w:line="276" w:lineRule="auto"/>
      </w:pPr>
      <w:r>
        <w:rPr>
          <w:rFonts w:ascii="Calibri" w:hAnsi="Calibri"/>
          <w:b/>
          <w:color w:val="1B365D"/>
          <w:sz w:val="19"/>
        </w:rPr>
        <w:t xml:space="preserve">Cypher Fixes: </w:t>
      </w:r>
      <w:r>
        <w:rPr>
          <w:rFonts w:ascii="Calibri" w:hAnsi="Calibri"/>
          <w:color w:val="222222"/>
          <w:sz w:val="19"/>
        </w:rPr>
        <w:t>database\neo4j\cypher\30_result.cypher, 50_operations.cypher, 60_finance.cypher, 70_skills.cypher</w:t>
      </w:r>
    </w:p>
    <w:p>
      <w:pPr>
        <w:spacing w:after="80" w:line="276" w:lineRule="auto"/>
      </w:pPr>
      <w:r>
        <w:rPr>
          <w:rFonts w:ascii="Calibri" w:hAnsi="Calibri"/>
          <w:b/>
          <w:color w:val="1B365D"/>
          <w:sz w:val="19"/>
        </w:rPr>
        <w:t xml:space="preserve">Scheduler Kernel: </w:t>
      </w:r>
      <w:r>
        <w:rPr>
          <w:rFonts w:ascii="Calibri" w:hAnsi="Calibri"/>
          <w:color w:val="222222"/>
          <w:sz w:val="19"/>
        </w:rPr>
        <w:t>app\Console\Kernel.php (lines 20-250)</w:t>
      </w:r>
    </w:p>
    <w:p>
      <w:pPr>
        <w:keepNext/>
        <w:spacing w:before="360" w:after="120"/>
      </w:pPr>
      <w:r>
        <w:rPr>
          <w:rFonts w:ascii="Calibri" w:hAnsi="Calibri"/>
          <w:b/>
          <w:color w:val="1B365D"/>
          <w:sz w:val="30"/>
        </w:rPr>
        <w:t>17. Read-Only Validation Results</w:t>
      </w:r>
    </w:p>
    <w:p>
      <w:pPr>
        <w:spacing w:after="80" w:line="276" w:lineRule="auto"/>
      </w:pPr>
      <w:r>
        <w:rPr>
          <w:rFonts w:ascii="Calibri" w:hAnsi="Calibri"/>
          <w:color w:val="222222"/>
          <w:sz w:val="19"/>
        </w:rPr>
        <w:t>Empirical measurements obtained during live audit execution on October 29, 2026:</w:t>
      </w:r>
    </w:p>
    <w:p>
      <w:pPr>
        <w:spacing w:after="80" w:line="276" w:lineRule="auto"/>
      </w:pPr>
      <w:r>
        <w:rPr>
          <w:rFonts w:ascii="Calibri" w:hAnsi="Calibri"/>
          <w:color w:val="222222"/>
          <w:sz w:val="19"/>
        </w:rPr>
        <w:t>• MySQL Triggers: Exactly 162 triggers confirmed active in INFORMATION_SCHEMA.TRIGGERS across 54 tables in vivek_erp.</w:t>
      </w:r>
    </w:p>
    <w:p>
      <w:pPr>
        <w:spacing w:after="80" w:line="276" w:lineRule="auto"/>
      </w:pPr>
      <w:r>
        <w:rPr>
          <w:rFonts w:ascii="Calibri" w:hAnsi="Calibri"/>
          <w:color w:val="222222"/>
          <w:sz w:val="19"/>
        </w:rPr>
        <w:t>• sync_log Status: 740,613 SUCCESS, 0 PENDING, 0 FAILED.</w:t>
      </w:r>
    </w:p>
    <w:p>
      <w:pPr>
        <w:spacing w:after="80" w:line="276" w:lineRule="auto"/>
      </w:pPr>
      <w:r>
        <w:rPr>
          <w:rFonts w:ascii="Calibri" w:hAnsi="Calibri"/>
          <w:color w:val="222222"/>
          <w:sz w:val="19"/>
        </w:rPr>
        <w:t>• neo4j_sync_queue Status: 756,647 done, 29,185 failed, 0 pending.</w:t>
      </w:r>
    </w:p>
    <w:p>
      <w:pPr>
        <w:spacing w:after="80" w:line="276" w:lineRule="auto"/>
      </w:pPr>
      <w:r>
        <w:rPr>
          <w:rFonts w:ascii="Calibri" w:hAnsi="Calibri"/>
          <w:color w:val="222222"/>
          <w:sz w:val="19"/>
        </w:rPr>
        <w:t>• Neo4j Total Nodes: 990,289 (within 1,500,000 budget).</w:t>
      </w:r>
    </w:p>
    <w:p>
      <w:pPr>
        <w:spacing w:after="80" w:line="276" w:lineRule="auto"/>
      </w:pPr>
      <w:r>
        <w:rPr>
          <w:rFonts w:ascii="Calibri" w:hAnsi="Calibri"/>
          <w:color w:val="222222"/>
          <w:sz w:val="19"/>
        </w:rPr>
        <w:t>• Neo4j Total Relationships: 2,957,858 (within 4,000,000 budget).</w:t>
      </w:r>
    </w:p>
    <w:p>
      <w:pPr>
        <w:spacing w:after="80" w:line="276" w:lineRule="auto"/>
      </w:pPr>
      <w:r>
        <w:rPr>
          <w:rFonts w:ascii="Calibri" w:hAnsi="Calibri"/>
          <w:color w:val="222222"/>
          <w:sz w:val="19"/>
        </w:rPr>
        <w:t>• G2 Duplicate UIDs: 0 duplicates verified.</w:t>
      </w:r>
    </w:p>
    <w:p>
      <w:pPr>
        <w:spacing w:after="80" w:line="276" w:lineRule="auto"/>
      </w:pPr>
      <w:r>
        <w:rPr>
          <w:rFonts w:ascii="Calibri" w:hAnsi="Calibri"/>
          <w:color w:val="222222"/>
          <w:sz w:val="19"/>
        </w:rPr>
        <w:t>• G4 Result Fan-out: 110,884 instances accepted as intentional.</w:t>
      </w:r>
    </w:p>
    <w:p>
      <w:pPr>
        <w:spacing w:after="80" w:line="276" w:lineRule="auto"/>
      </w:pPr>
      <w:r>
        <w:rPr>
          <w:rFonts w:ascii="Calibri" w:hAnsi="Calibri"/>
          <w:color w:val="222222"/>
          <w:sz w:val="19"/>
        </w:rPr>
        <w:t>• G5 String Tenancy: 0 non-integer tenant IDs verified.</w:t>
      </w:r>
    </w:p>
    <w:p>
      <w:pPr>
        <w:spacing w:after="80" w:line="276" w:lineRule="auto"/>
      </w:pPr>
      <w:r>
        <w:rPr>
          <w:rFonts w:ascii="Calibri" w:hAnsi="Calibri"/>
          <w:color w:val="222222"/>
          <w:sz w:val="19"/>
        </w:rPr>
        <w:t>• Newly Triggered Labels: :Division (492), :AcademicYear (416), :Department (113), :Institute (56).</w:t>
      </w:r>
    </w:p>
    <w:p>
      <w:pPr>
        <w:keepNext/>
        <w:spacing w:before="360" w:after="120"/>
      </w:pPr>
      <w:r>
        <w:rPr>
          <w:rFonts w:ascii="Calibri" w:hAnsi="Calibri"/>
          <w:b/>
          <w:color w:val="1B365D"/>
          <w:sz w:val="30"/>
        </w:rPr>
        <w:t>18. Architecture Diagrams</w:t>
      </w:r>
    </w:p>
    <w:p>
      <w:pPr>
        <w:spacing w:after="80" w:line="276" w:lineRule="auto"/>
      </w:pPr>
      <w:r>
        <w:rPr>
          <w:rFonts w:ascii="Calibri" w:hAnsi="Calibri"/>
          <w:color w:val="222222"/>
          <w:sz w:val="19"/>
        </w:rPr>
        <w:t>The following structured diagrams illustrate the verified ERP synchronization architecture:</w:t>
      </w:r>
    </w:p>
    <w:p>
      <w:pPr>
        <w:keepNext/>
        <w:spacing w:before="240" w:after="80"/>
      </w:pPr>
      <w:r>
        <w:rPr>
          <w:rFonts w:ascii="Calibri" w:hAnsi="Calibri"/>
          <w:b/>
          <w:color w:val="4B6B94"/>
          <w:sz w:val="24"/>
        </w:rPr>
        <w:t>Diagram 1: Overall System Architecture &amp; Data Boundaries</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pPr>
            <w:r>
              <w:rPr>
                <w:rFonts w:ascii="Consolas" w:hAnsi="Consolas"/>
                <w:color w:val="1E293B"/>
                <w:sz w:val="17"/>
              </w:rPr>
              <w:br/>
              <w:t>+-----------------------------------------------------------------------------------+</w:t>
              <w:br/>
              <w:t>|                                FRONTEND TIER                                      |</w:t>
              <w:br/>
              <w:t>|   Next.js 16 (C:\lms_k12) -- No Direct Neo4j Driver -- Consumes Laravel REST APIs   |</w:t>
              <w:br/>
              <w:t>+-----------------------------------------------------------------------------------+</w:t>
              <w:br/>
              <w:t xml:space="preserve">                                          | HTTP / JSON (Bearer JWT)</w:t>
              <w:br/>
              <w:t xml:space="preserve">                                          v</w:t>
              <w:br/>
              <w:t>+-----------------------------------------------------------------------------------+</w:t>
              <w:br/>
              <w:t>|                                 BACKEND TIER                                      |</w:t>
              <w:br/>
              <w:t>|                          Laravel 12 (next_lms_erp)                                |</w:t>
              <w:br/>
              <w:t>|  Controllers | Domain Services | Mcp Context | Projections | GraphDrain | Kernel  |</w:t>
              <w:br/>
              <w:t>+-----------------------------------------------------------------------------------+</w:t>
              <w:br/>
              <w:t xml:space="preserve">             |                                                  |</w:t>
              <w:br/>
              <w:t xml:space="preserve">             | Relational SQL (ACID)                            | Bolt Protocol (7688)</w:t>
              <w:br/>
              <w:t xml:space="preserve">             v                                                  v</w:t>
              <w:br/>
              <w:t>+---------------------------------------+       +-----------------------------------+</w:t>
              <w:br/>
              <w:t>|        PRIMARY DATABASE (MySQL)       |       |       GRAPH DATABASE (Neo4j)      |</w:t>
              <w:br/>
              <w:t>|             `vivek_erp`               |       |         `bolt://...:7688`         |</w:t>
              <w:br/>
              <w:t>|  - 488 Business Tables                |       |  - 990,289 Nodes                  |</w:t>
              <w:br/>
              <w:t>|  - 162 Database Triggers              |       |  - 2,957,858 Relationships        |</w:t>
              <w:br/>
              <w:t>|  - sync_log (740,613 rows)            |======&gt;|  - Derived Semantic Read-Model    |</w:t>
              <w:br/>
              <w:t>|  - neo4j_sync_queue (785,832 rows)    | Live  |  - PAL Coherence Graph            |</w:t>
              <w:br/>
              <w:t>|  * SINGLE SOURCE OF TRUTH (L7)        | Drain |  - Curriculum Prerequisite Spine  |</w:t>
              <w:br/>
              <w:t>+---------------------------------------+       +-----------------------------------+</w:t>
              <w:br/>
              <w:t xml:space="preserve">    </w:t>
            </w:r>
          </w:p>
        </w:tc>
      </w:tr>
    </w:tbl>
    <w:p>
      <w:pPr>
        <w:spacing w:after="80"/>
      </w:pPr>
    </w:p>
    <w:p>
      <w:pPr>
        <w:keepNext/>
        <w:spacing w:before="240" w:after="80"/>
      </w:pPr>
      <w:r>
        <w:rPr>
          <w:rFonts w:ascii="Calibri" w:hAnsi="Calibri"/>
          <w:b/>
          <w:color w:val="4B6B94"/>
          <w:sz w:val="24"/>
        </w:rPr>
        <w:t>Diagram 2: Complete Transactional SQL-to-Neo4j Synchronization Flow</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pPr>
            <w:r>
              <w:rPr>
                <w:rFonts w:ascii="Consolas" w:hAnsi="Consolas"/>
                <w:color w:val="1E293B"/>
                <w:sz w:val="17"/>
              </w:rPr>
              <w:br/>
              <w:t>+-----------------------------------------------------------------------------------+</w:t>
              <w:br/>
              <w:t>| 1. BUSINESS WRITE  | Web Request / API / Bulk Import / Console Command            |</w:t>
              <w:br/>
              <w:t>|                    | Executes INSERT / UPDATE / DELETE on registered table         |</w:t>
              <w:br/>
              <w:t>+-----------------------------------------------------------------------------------+</w:t>
              <w:br/>
              <w:t xml:space="preserve">                                          |</w:t>
              <w:br/>
              <w:t xml:space="preserve">                                          v (Inside Caller Transaction)</w:t>
              <w:br/>
              <w:t>+-----------------------------------------------------------------------------------+</w:t>
              <w:br/>
              <w:t>| 2. DB TRIGGER      | neo4j_sync_{table}_{ai|au|ad} fires                          |</w:t>
              <w:br/>
              <w:t>|                    | Writes thin event {record_id, event, table, hints} to sync_log|</w:t>
              <w:br/>
              <w:t>+-----------------------------------------------------------------------------------+</w:t>
              <w:br/>
              <w:t xml:space="preserve">                                          |</w:t>
              <w:br/>
              <w:t xml:space="preserve">                                          v (Committed to MariaDB)</w:t>
              <w:br/>
              <w:t>+-----------------------------------------------------------------------------------+</w:t>
              <w:br/>
              <w:t>| 3. DRAIN DISPATCH  | php artisan neo4j:drain (everyMinute() or inline flush)      |</w:t>
              <w:br/>
              <w:t>|                    | GraphDrain fetches PENDING rows from sync_log                |</w:t>
              <w:br/>
              <w:t>+-----------------------------------------------------------------------------------+</w:t>
              <w:br/>
              <w:t xml:space="preserve">                                          |</w:t>
              <w:br/>
              <w:t xml:space="preserve">                                          v</w:t>
              <w:br/>
              <w:t>+-----------------------------------------------------------------------------------+</w:t>
              <w:br/>
              <w:t>| 4. PROJECTION      | ProjectionRegistry routes table to projection:               |</w:t>
              <w:br/>
              <w:t>|                    | - Bespoke: Student, Staff, Result, Engagement                |</w:t>
              <w:br/>
              <w:t>|                    | - Generic: TableGraphProjection                              |</w:t>
              <w:br/>
              <w:t>|                    | Re-reads MariaDB, builds displayLabel, casts data types      |</w:t>
              <w:br/>
              <w:t>+-----------------------------------------------------------------------------------+</w:t>
              <w:br/>
              <w:t xml:space="preserve">                     |                                              |</w:t>
              <w:br/>
              <w:t xml:space="preserve">                     | Node MERGE (Native Int Key)                  | Relationship Rows</w:t>
              <w:br/>
              <w:t xml:space="preserve">                     v                                              v</w:t>
              <w:br/>
              <w:t>+---------------------------------------+       +-----------------------------------+</w:t>
              <w:br/>
              <w:t>| Neo4j Node Written / Updated          |       | Queued in `neo4j_sync_queue`      |</w:t>
              <w:br/>
              <w:t>| MERGE (n:Label {id: $id})             |       | Status: 'pending', retry_count: 0 |</w:t>
              <w:br/>
              <w:t>+---------------------------------------+       +-----------------------------------+</w:t>
              <w:br/>
              <w:t xml:space="preserve">                                                                    |</w:t>
              <w:br/>
              <w:t xml:space="preserve">                                                                    v</w:t>
              <w:br/>
              <w:t xml:space="preserve">                                                +-----------------------------------+</w:t>
              <w:br/>
              <w:t xml:space="preserve">                                                | GraphDrain::drainRelationships()  |</w:t>
              <w:br/>
              <w:t xml:space="preserve">                                                | Resolves endpoints via Neo4j      |</w:t>
              <w:br/>
              <w:t xml:space="preserve">                                                | MERGE (src)-[r:TYPE]-&gt;(tgt)       |</w:t>
              <w:br/>
              <w:t xml:space="preserve">                                                | Done: 756k | Failed: 29k | Pend: 0|</w:t>
              <w:br/>
              <w:t xml:space="preserve">                                                +-----------------------------------+</w:t>
              <w:br/>
              <w:t xml:space="preserve">    </w:t>
            </w:r>
          </w:p>
        </w:tc>
      </w:tr>
    </w:tbl>
    <w:p>
      <w:pPr>
        <w:spacing w:after="80"/>
      </w:pPr>
    </w:p>
    <w:p>
      <w:pPr>
        <w:keepNext/>
        <w:spacing w:before="360" w:after="120"/>
      </w:pPr>
      <w:r>
        <w:rPr>
          <w:rFonts w:ascii="Calibri" w:hAnsi="Calibri"/>
          <w:b/>
          <w:color w:val="1B365D"/>
          <w:sz w:val="30"/>
        </w:rPr>
        <w:t>19. Prioritized Recommendations</w:t>
      </w:r>
    </w:p>
    <w:p>
      <w:pPr>
        <w:spacing w:after="80" w:line="276" w:lineRule="auto"/>
      </w:pPr>
      <w:r>
        <w:rPr>
          <w:rFonts w:ascii="Calibri" w:hAnsi="Calibri"/>
          <w:color w:val="222222"/>
          <w:sz w:val="19"/>
        </w:rPr>
        <w:t>Based on empirical findings, the following actions are recommended in priority order:</w:t>
      </w:r>
    </w:p>
    <w:p>
      <w:pPr>
        <w:spacing w:after="80" w:line="276" w:lineRule="auto"/>
      </w:pPr>
      <w:r>
        <w:rPr>
          <w:rFonts w:ascii="Calibri" w:hAnsi="Calibri"/>
          <w:color w:val="222222"/>
          <w:sz w:val="19"/>
        </w:rPr>
        <w:t>1. Priority 1 (Foundation Historical Backfill): Execute a one-time non-destructive backfill for the newly triggered foundation tables (division, academic_year, school_setup) to populate the historical delta (180 divisions, 107 academic years, 1 institute) into Neo4j using their native keys.</w:t>
      </w:r>
    </w:p>
    <w:p>
      <w:pPr>
        <w:spacing w:after="80" w:line="276" w:lineRule="auto"/>
      </w:pPr>
      <w:r>
        <w:rPr>
          <w:rFonts w:ascii="Calibri" w:hAnsi="Calibri"/>
          <w:color w:val="222222"/>
          <w:sz w:val="19"/>
        </w:rPr>
        <w:t>2. Priority 2 (G1 Tenancy Backfill for Result Nodes): Run the pre-designed, non-destructive script g1_result_tenant_backup_execute.php to backfill sub_institute_id on 36,430 historical :Result nodes by reading their connected :Student nodes' tenant ID.</w:t>
      </w:r>
    </w:p>
    <w:p>
      <w:pPr>
        <w:spacing w:after="80" w:line="276" w:lineRule="auto"/>
      </w:pPr>
      <w:r>
        <w:rPr>
          <w:rFonts w:ascii="Calibri" w:hAnsi="Calibri"/>
          <w:color w:val="222222"/>
          <w:sz w:val="19"/>
        </w:rPr>
        <w:t>3. Priority 3 (Queue Archival): Archive the 11,363 confirmed UNRECOVERABLE rows in neo4j_sync_queue into a cold table (neo4j_sync_queue_unrecoverable_archive) to keep active queue tables lightweight.</w:t>
      </w:r>
    </w:p>
    <w:p>
      <w:pPr>
        <w:spacing w:after="80" w:line="276" w:lineRule="auto"/>
      </w:pPr>
      <w:r>
        <w:rPr>
          <w:rFonts w:ascii="Calibri" w:hAnsi="Calibri"/>
          <w:color w:val="222222"/>
          <w:sz w:val="19"/>
        </w:rPr>
        <w:t>4. Priority 4 (Windows Dev Scheduler Automation): Configure a Windows Task Scheduler task or persistent supervisor (serve-fast.ps1 / neo4j:drain --watch=10) on local development environments to ensure automated outbox draining without requiring manual artisan execution.</w:t>
      </w:r>
    </w:p>
    <w:p>
      <w:pPr>
        <w:spacing w:after="80" w:line="276" w:lineRule="auto"/>
      </w:pPr>
      <w:r>
        <w:rPr>
          <w:rFonts w:ascii="Calibri" w:hAnsi="Calibri"/>
          <w:color w:val="222222"/>
          <w:sz w:val="19"/>
        </w:rPr>
        <w:t>5. Priority 5 (G3 Cross-Tenant Edge Cleanup): Run a targeted read-only audit followed by approval-gated retraction for the 247 legacy cross-tenant edges remaining from pre-migration CSV loads.</w:t>
      </w:r>
    </w:p>
    <w:p>
      <w:pPr>
        <w:keepNext/>
        <w:spacing w:before="360" w:after="120"/>
      </w:pPr>
      <w:r>
        <w:rPr>
          <w:rFonts w:ascii="Calibri" w:hAnsi="Calibri"/>
          <w:b/>
          <w:color w:val="1B365D"/>
          <w:sz w:val="30"/>
        </w:rPr>
        <w:t>20. Approval-Required Remediation Plan</w:t>
      </w:r>
    </w:p>
    <w:p>
      <w:pPr>
        <w:spacing w:after="80" w:line="276" w:lineRule="auto"/>
      </w:pPr>
      <w:r>
        <w:rPr>
          <w:rFonts w:ascii="Calibri" w:hAnsi="Calibri"/>
          <w:color w:val="222222"/>
          <w:sz w:val="19"/>
        </w:rPr>
        <w:t>In strict accordance with master prompt Rule 2, NO fixes were executed during this audit. The following remediation plan is submitted for explicit user approval before execution:</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B365D"/>
            <w:tcMar>
              <w:top w:w="140" w:type="dxa"/>
              <w:bottom w:w="140" w:type="dxa"/>
              <w:left w:w="150" w:type="dxa"/>
              <w:right w:w="150" w:type="dxa"/>
            </w:tcMar>
          </w:tcPr>
          <w:p>
            <w:pPr>
              <w:jc w:val="left"/>
            </w:pPr>
            <w:r>
              <w:rPr>
                <w:rFonts w:ascii="Calibri" w:hAnsi="Calibri"/>
                <w:b/>
                <w:color w:val="FFFFFF"/>
                <w:sz w:val="19"/>
              </w:rPr>
              <w:t>Step</w:t>
            </w:r>
          </w:p>
        </w:tc>
        <w:tc>
          <w:tcPr>
            <w:tcW w:type="dxa" w:w="1987"/>
            <w:shd w:fill="1B365D"/>
            <w:tcMar>
              <w:top w:w="140" w:type="dxa"/>
              <w:bottom w:w="140" w:type="dxa"/>
              <w:left w:w="150" w:type="dxa"/>
              <w:right w:w="150" w:type="dxa"/>
            </w:tcMar>
          </w:tcPr>
          <w:p>
            <w:pPr>
              <w:jc w:val="left"/>
            </w:pPr>
            <w:r>
              <w:rPr>
                <w:rFonts w:ascii="Calibri" w:hAnsi="Calibri"/>
                <w:b/>
                <w:color w:val="FFFFFF"/>
                <w:sz w:val="19"/>
              </w:rPr>
              <w:t>Action Description</w:t>
            </w:r>
          </w:p>
        </w:tc>
        <w:tc>
          <w:tcPr>
            <w:tcW w:type="dxa" w:w="1987"/>
            <w:shd w:fill="1B365D"/>
            <w:tcMar>
              <w:top w:w="140" w:type="dxa"/>
              <w:bottom w:w="140" w:type="dxa"/>
              <w:left w:w="150" w:type="dxa"/>
              <w:right w:w="150" w:type="dxa"/>
            </w:tcMar>
          </w:tcPr>
          <w:p>
            <w:pPr>
              <w:jc w:val="left"/>
            </w:pPr>
            <w:r>
              <w:rPr>
                <w:rFonts w:ascii="Calibri" w:hAnsi="Calibri"/>
                <w:b/>
                <w:color w:val="FFFFFF"/>
                <w:sz w:val="19"/>
              </w:rPr>
              <w:t>Target Scope</w:t>
            </w:r>
          </w:p>
        </w:tc>
        <w:tc>
          <w:tcPr>
            <w:tcW w:type="dxa" w:w="1987"/>
            <w:shd w:fill="1B365D"/>
            <w:tcMar>
              <w:top w:w="140" w:type="dxa"/>
              <w:bottom w:w="140" w:type="dxa"/>
              <w:left w:w="150" w:type="dxa"/>
              <w:right w:w="150" w:type="dxa"/>
            </w:tcMar>
          </w:tcPr>
          <w:p>
            <w:pPr>
              <w:jc w:val="left"/>
            </w:pPr>
            <w:r>
              <w:rPr>
                <w:rFonts w:ascii="Calibri" w:hAnsi="Calibri"/>
                <w:b/>
                <w:color w:val="FFFFFF"/>
                <w:sz w:val="19"/>
              </w:rPr>
              <w:t>Expected Impact &amp; Safety</w:t>
            </w:r>
          </w:p>
        </w:tc>
        <w:tc>
          <w:tcPr>
            <w:tcW w:type="dxa" w:w="1987"/>
            <w:shd w:fill="1B365D"/>
            <w:tcMar>
              <w:top w:w="140" w:type="dxa"/>
              <w:bottom w:w="140" w:type="dxa"/>
              <w:left w:w="150" w:type="dxa"/>
              <w:right w:w="150" w:type="dxa"/>
            </w:tcMar>
          </w:tcPr>
          <w:p>
            <w:pPr>
              <w:jc w:val="left"/>
            </w:pPr>
            <w:r>
              <w:rPr>
                <w:rFonts w:ascii="Calibri" w:hAnsi="Calibri"/>
                <w:b/>
                <w:color w:val="FFFFFF"/>
                <w:sz w:val="19"/>
              </w:rPr>
              <w:t>Approval Status</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Step 1</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Execute G1 Result Tenancy Backfill</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:Result nodes in Neo4j</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Enriches 36,430 :Result nodes with sub_institute_id derived from :Student. Non-destructive.</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Pending Approval</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Step 2</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Backfill Foundation Entity Delta</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division, academic_year, school_setup</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One-time enqueue of historical delta rows through TableGraphProjection. Native-keyed. Non-destructive.</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Pending Approval</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Step 3</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Archive UNRECOVERABLE Queue Rows</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neo4j_sync_queue (11,363 rows)</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Moves known unfixable rows to archive table. Decreases active queue size. Zero business impact.</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Pending Approval</w:t>
            </w:r>
          </w:p>
        </w:tc>
      </w:tr>
      <w:tr>
        <w:tc>
          <w:tcPr>
            <w:tcW w:type="dxa" w:w="1987"/>
            <w:shd w:fill="F1F5F9"/>
            <w:tcMar>
              <w:top w:w="100" w:type="dxa"/>
              <w:bottom w:w="100" w:type="dxa"/>
              <w:left w:w="140" w:type="dxa"/>
              <w:right w:w="140" w:type="dxa"/>
            </w:tcMar>
          </w:tcPr>
          <w:p>
            <w:pPr>
              <w:jc w:val="left"/>
            </w:pPr>
            <w:r>
              <w:rPr>
                <w:rFonts w:ascii="Calibri" w:hAnsi="Calibri"/>
                <w:b/>
                <w:i w:val="0"/>
                <w:color w:val="222222"/>
                <w:sz w:val="18"/>
              </w:rPr>
              <w:t>Step 4</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Clean Legacy Cross-Tenant Edges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247 cross-tenant relationships</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Retracts 247 edges crossing sub_institute_id boundaries. Enforces complete tenant isolation.</w:t>
            </w:r>
          </w:p>
        </w:tc>
        <w:tc>
          <w:tcPr>
            <w:tcW w:type="dxa" w:w="1987"/>
            <w:shd w:fill="F1F5F9"/>
            <w:tcMar>
              <w:top w:w="100" w:type="dxa"/>
              <w:bottom w:w="100" w:type="dxa"/>
              <w:left w:w="140" w:type="dxa"/>
              <w:right w:w="140" w:type="dxa"/>
            </w:tcMar>
          </w:tcPr>
          <w:p>
            <w:pPr>
              <w:jc w:val="left"/>
            </w:pPr>
            <w:r>
              <w:rPr>
                <w:rFonts w:ascii="Calibri" w:hAnsi="Calibri"/>
                <w:b w:val="0"/>
                <w:i w:val="0"/>
                <w:color w:val="222222"/>
                <w:sz w:val="18"/>
              </w:rPr>
              <w:t>Pending Approval</w:t>
            </w:r>
          </w:p>
        </w:tc>
      </w:tr>
      <w:tr>
        <w:tc>
          <w:tcPr>
            <w:tcW w:type="dxa" w:w="1987"/>
            <w:shd w:fill="FFFFFF"/>
            <w:tcMar>
              <w:top w:w="100" w:type="dxa"/>
              <w:bottom w:w="100" w:type="dxa"/>
              <w:left w:w="140" w:type="dxa"/>
              <w:right w:w="140" w:type="dxa"/>
            </w:tcMar>
          </w:tcPr>
          <w:p>
            <w:pPr>
              <w:jc w:val="left"/>
            </w:pPr>
            <w:r>
              <w:rPr>
                <w:rFonts w:ascii="Calibri" w:hAnsi="Calibri"/>
                <w:b/>
                <w:i w:val="0"/>
                <w:color w:val="222222"/>
                <w:sz w:val="18"/>
              </w:rPr>
              <w:t>Step 5</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Re-run Quality Verification</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neo4j:verify gate checks</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Re-evaluates G1, G3, G10 gates to confirm post-repair pass status.</w:t>
            </w:r>
          </w:p>
        </w:tc>
        <w:tc>
          <w:tcPr>
            <w:tcW w:type="dxa" w:w="1987"/>
            <w:shd w:fill="FFFFFF"/>
            <w:tcMar>
              <w:top w:w="100" w:type="dxa"/>
              <w:bottom w:w="100" w:type="dxa"/>
              <w:left w:w="140" w:type="dxa"/>
              <w:right w:w="140" w:type="dxa"/>
            </w:tcMar>
          </w:tcPr>
          <w:p>
            <w:pPr>
              <w:jc w:val="left"/>
            </w:pPr>
            <w:r>
              <w:rPr>
                <w:rFonts w:ascii="Calibri" w:hAnsi="Calibri"/>
                <w:b w:val="0"/>
                <w:i w:val="0"/>
                <w:color w:val="222222"/>
                <w:sz w:val="18"/>
              </w:rPr>
              <w:t>Pending Approval</w:t>
            </w:r>
          </w:p>
        </w:tc>
      </w:tr>
    </w:tbl>
    <w:p>
      <w:pPr>
        <w:spacing w:after="120"/>
      </w:pPr>
    </w:p>
    <w:p>
      <w:pPr>
        <w:keepNext/>
        <w:spacing w:before="360" w:after="120"/>
      </w:pPr>
      <w:r>
        <w:rPr>
          <w:rFonts w:ascii="Calibri" w:hAnsi="Calibri"/>
          <w:b/>
          <w:color w:val="1B365D"/>
          <w:sz w:val="30"/>
        </w:rPr>
        <w:t>21. Final Audit Status Dashboard</w:t>
      </w:r>
    </w:p>
    <w:p>
      <w:pPr>
        <w:spacing w:after="80" w:line="276" w:lineRule="auto"/>
      </w:pPr>
      <w:r>
        <w:rPr>
          <w:rFonts w:ascii="Calibri" w:hAnsi="Calibri"/>
          <w:color w:val="222222"/>
          <w:sz w:val="19"/>
        </w:rPr>
        <w:t>Comprehensive status dashboard across all modules and pipelines evaluated during this audit:</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994"/>
        <w:gridCol w:w="994"/>
        <w:gridCol w:w="994"/>
        <w:gridCol w:w="994"/>
        <w:gridCol w:w="994"/>
        <w:gridCol w:w="994"/>
        <w:gridCol w:w="994"/>
        <w:gridCol w:w="994"/>
        <w:gridCol w:w="994"/>
        <w:gridCol w:w="994"/>
      </w:tblGrid>
      <w:tr>
        <w:tc>
          <w:tcPr>
            <w:tcW w:type="dxa" w:w="994"/>
            <w:shd w:fill="1B365D"/>
            <w:tcMar>
              <w:top w:w="140" w:type="dxa"/>
              <w:bottom w:w="140" w:type="dxa"/>
              <w:left w:w="150" w:type="dxa"/>
              <w:right w:w="150" w:type="dxa"/>
            </w:tcMar>
          </w:tcPr>
          <w:p>
            <w:pPr>
              <w:jc w:val="left"/>
            </w:pPr>
            <w:r>
              <w:rPr>
                <w:rFonts w:ascii="Calibri" w:hAnsi="Calibri"/>
                <w:b/>
                <w:color w:val="FFFFFF"/>
                <w:sz w:val="19"/>
              </w:rPr>
              <w:t>Module</w:t>
            </w:r>
          </w:p>
        </w:tc>
        <w:tc>
          <w:tcPr>
            <w:tcW w:type="dxa" w:w="994"/>
            <w:shd w:fill="1B365D"/>
            <w:tcMar>
              <w:top w:w="140" w:type="dxa"/>
              <w:bottom w:w="140" w:type="dxa"/>
              <w:left w:w="150" w:type="dxa"/>
              <w:right w:w="150" w:type="dxa"/>
            </w:tcMar>
          </w:tcPr>
          <w:p>
            <w:pPr>
              <w:jc w:val="left"/>
            </w:pPr>
            <w:r>
              <w:rPr>
                <w:rFonts w:ascii="Calibri" w:hAnsi="Calibri"/>
                <w:b/>
                <w:color w:val="FFFFFF"/>
                <w:sz w:val="19"/>
              </w:rPr>
              <w:t>Data Source</w:t>
            </w:r>
          </w:p>
        </w:tc>
        <w:tc>
          <w:tcPr>
            <w:tcW w:type="dxa" w:w="994"/>
            <w:shd w:fill="1B365D"/>
            <w:tcMar>
              <w:top w:w="140" w:type="dxa"/>
              <w:bottom w:w="140" w:type="dxa"/>
              <w:left w:w="150" w:type="dxa"/>
              <w:right w:w="150" w:type="dxa"/>
            </w:tcMar>
          </w:tcPr>
          <w:p>
            <w:pPr>
              <w:jc w:val="left"/>
            </w:pPr>
            <w:r>
              <w:rPr>
                <w:rFonts w:ascii="Calibri" w:hAnsi="Calibri"/>
                <w:b/>
                <w:color w:val="FFFFFF"/>
                <w:sz w:val="19"/>
              </w:rPr>
              <w:t>Pipeline Name</w:t>
            </w:r>
          </w:p>
        </w:tc>
        <w:tc>
          <w:tcPr>
            <w:tcW w:type="dxa" w:w="994"/>
            <w:shd w:fill="1B365D"/>
            <w:tcMar>
              <w:top w:w="140" w:type="dxa"/>
              <w:bottom w:w="140" w:type="dxa"/>
              <w:left w:w="150" w:type="dxa"/>
              <w:right w:w="150" w:type="dxa"/>
            </w:tcMar>
          </w:tcPr>
          <w:p>
            <w:pPr>
              <w:jc w:val="left"/>
            </w:pPr>
            <w:r>
              <w:rPr>
                <w:rFonts w:ascii="Calibri" w:hAnsi="Calibri"/>
                <w:b/>
                <w:color w:val="FFFFFF"/>
                <w:sz w:val="19"/>
              </w:rPr>
              <w:t>SQL-to-Neo4j Mapping</w:t>
            </w:r>
          </w:p>
        </w:tc>
        <w:tc>
          <w:tcPr>
            <w:tcW w:type="dxa" w:w="994"/>
            <w:shd w:fill="1B365D"/>
            <w:tcMar>
              <w:top w:w="140" w:type="dxa"/>
              <w:bottom w:w="140" w:type="dxa"/>
              <w:left w:w="150" w:type="dxa"/>
              <w:right w:w="150" w:type="dxa"/>
            </w:tcMar>
          </w:tcPr>
          <w:p>
            <w:pPr>
              <w:jc w:val="left"/>
            </w:pPr>
            <w:r>
              <w:rPr>
                <w:rFonts w:ascii="Calibri" w:hAnsi="Calibri"/>
                <w:b/>
                <w:color w:val="FFFFFF"/>
                <w:sz w:val="19"/>
              </w:rPr>
              <w:t>Runtime Status</w:t>
            </w:r>
          </w:p>
        </w:tc>
        <w:tc>
          <w:tcPr>
            <w:tcW w:type="dxa" w:w="994"/>
            <w:shd w:fill="1B365D"/>
            <w:tcMar>
              <w:top w:w="140" w:type="dxa"/>
              <w:bottom w:w="140" w:type="dxa"/>
              <w:left w:w="150" w:type="dxa"/>
              <w:right w:w="150" w:type="dxa"/>
            </w:tcMar>
          </w:tcPr>
          <w:p>
            <w:pPr>
              <w:jc w:val="left"/>
            </w:pPr>
            <w:r>
              <w:rPr>
                <w:rFonts w:ascii="Calibri" w:hAnsi="Calibri"/>
                <w:b/>
                <w:color w:val="FFFFFF"/>
                <w:sz w:val="19"/>
              </w:rPr>
              <w:t>Last Verified Sync</w:t>
            </w:r>
          </w:p>
        </w:tc>
        <w:tc>
          <w:tcPr>
            <w:tcW w:type="dxa" w:w="994"/>
            <w:shd w:fill="1B365D"/>
            <w:tcMar>
              <w:top w:w="140" w:type="dxa"/>
              <w:bottom w:w="140" w:type="dxa"/>
              <w:left w:w="150" w:type="dxa"/>
              <w:right w:w="150" w:type="dxa"/>
            </w:tcMar>
          </w:tcPr>
          <w:p>
            <w:pPr>
              <w:jc w:val="left"/>
            </w:pPr>
            <w:r>
              <w:rPr>
                <w:rFonts w:ascii="Calibri" w:hAnsi="Calibri"/>
                <w:b/>
                <w:color w:val="FFFFFF"/>
                <w:sz w:val="19"/>
              </w:rPr>
              <w:t>Data Consistency</w:t>
            </w:r>
          </w:p>
        </w:tc>
        <w:tc>
          <w:tcPr>
            <w:tcW w:type="dxa" w:w="994"/>
            <w:shd w:fill="1B365D"/>
            <w:tcMar>
              <w:top w:w="140" w:type="dxa"/>
              <w:bottom w:w="140" w:type="dxa"/>
              <w:left w:w="150" w:type="dxa"/>
              <w:right w:w="150" w:type="dxa"/>
            </w:tcMar>
          </w:tcPr>
          <w:p>
            <w:pPr>
              <w:jc w:val="left"/>
            </w:pPr>
            <w:r>
              <w:rPr>
                <w:rFonts w:ascii="Calibri" w:hAnsi="Calibri"/>
                <w:b/>
                <w:color w:val="FFFFFF"/>
                <w:sz w:val="19"/>
              </w:rPr>
              <w:t>Identified Breakpoints</w:t>
            </w:r>
          </w:p>
        </w:tc>
        <w:tc>
          <w:tcPr>
            <w:tcW w:type="dxa" w:w="994"/>
            <w:shd w:fill="1B365D"/>
            <w:tcMar>
              <w:top w:w="140" w:type="dxa"/>
              <w:bottom w:w="140" w:type="dxa"/>
              <w:left w:w="150" w:type="dxa"/>
              <w:right w:w="150" w:type="dxa"/>
            </w:tcMar>
          </w:tcPr>
          <w:p>
            <w:pPr>
              <w:jc w:val="left"/>
            </w:pPr>
            <w:r>
              <w:rPr>
                <w:rFonts w:ascii="Calibri" w:hAnsi="Calibri"/>
                <w:b/>
                <w:color w:val="FFFFFF"/>
                <w:sz w:val="19"/>
              </w:rPr>
              <w:t>Evidence Completeness</w:t>
            </w:r>
          </w:p>
        </w:tc>
        <w:tc>
          <w:tcPr>
            <w:tcW w:type="dxa" w:w="994"/>
            <w:shd w:fill="1B365D"/>
            <w:tcMar>
              <w:top w:w="140" w:type="dxa"/>
              <w:bottom w:w="140" w:type="dxa"/>
              <w:left w:w="150" w:type="dxa"/>
              <w:right w:w="150" w:type="dxa"/>
            </w:tcMar>
          </w:tcPr>
          <w:p>
            <w:pPr>
              <w:jc w:val="left"/>
            </w:pPr>
            <w:r>
              <w:rPr>
                <w:rFonts w:ascii="Calibri" w:hAnsi="Calibri"/>
                <w:b/>
                <w:color w:val="FFFFFF"/>
                <w:sz w:val="19"/>
              </w:rPr>
              <w:t>Approval Action</w:t>
            </w:r>
          </w:p>
        </w:tc>
      </w:tr>
      <w:tr>
        <w:tc>
          <w:tcPr>
            <w:tcW w:type="dxa" w:w="994"/>
            <w:shd w:fill="FFFFFF"/>
            <w:tcMar>
              <w:top w:w="100" w:type="dxa"/>
              <w:bottom w:w="100" w:type="dxa"/>
              <w:left w:w="140" w:type="dxa"/>
              <w:right w:w="140" w:type="dxa"/>
            </w:tcMar>
          </w:tcPr>
          <w:p>
            <w:pPr>
              <w:jc w:val="left"/>
            </w:pPr>
            <w:r>
              <w:rPr>
                <w:rFonts w:ascii="Calibri" w:hAnsi="Calibri"/>
                <w:b/>
                <w:i w:val="0"/>
                <w:color w:val="222222"/>
                <w:sz w:val="18"/>
              </w:rPr>
              <w:t>Module 1: Dashboard</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MariaDB SQL</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SQL Aggregation</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None (Direct SQL)</w:t>
            </w:r>
          </w:p>
        </w:tc>
        <w:tc>
          <w:tcPr>
            <w:tcW w:type="dxa" w:w="994"/>
            <w:shd w:fill="FFFFFF"/>
            <w:tcMar>
              <w:top w:w="100" w:type="dxa"/>
              <w:bottom w:w="100" w:type="dxa"/>
              <w:left w:w="140" w:type="dxa"/>
              <w:right w:w="140" w:type="dxa"/>
            </w:tcMar>
          </w:tcPr>
          <w:p>
            <w:pPr>
              <w:jc w:val="left"/>
            </w:pPr>
            <w:r>
              <w:rPr>
                <w:rFonts w:ascii="Calibri" w:hAnsi="Calibri"/>
                <w:b w:val="0"/>
                <w:i w:val="0"/>
                <w:color w:val="166534"/>
                <w:sz w:val="18"/>
              </w:rPr>
              <w:t>Verified Working</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Consistent</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None</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None required</w:t>
            </w:r>
          </w:p>
        </w:tc>
      </w:tr>
      <w:tr>
        <w:tc>
          <w:tcPr>
            <w:tcW w:type="dxa" w:w="994"/>
            <w:shd w:fill="F1F5F9"/>
            <w:tcMar>
              <w:top w:w="100" w:type="dxa"/>
              <w:bottom w:w="100" w:type="dxa"/>
              <w:left w:w="140" w:type="dxa"/>
              <w:right w:w="140" w:type="dxa"/>
            </w:tcMar>
          </w:tcPr>
          <w:p>
            <w:pPr>
              <w:jc w:val="left"/>
            </w:pPr>
            <w:r>
              <w:rPr>
                <w:rFonts w:ascii="Calibri" w:hAnsi="Calibri"/>
                <w:b/>
                <w:i w:val="0"/>
                <w:color w:val="222222"/>
                <w:sz w:val="18"/>
              </w:rPr>
              <w:t>Module 2: Institute ERP</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MariaDB + Neo4j</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Pipeline A</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Foundation Master Specs</w:t>
            </w:r>
          </w:p>
        </w:tc>
        <w:tc>
          <w:tcPr>
            <w:tcW w:type="dxa" w:w="994"/>
            <w:shd w:fill="F1F5F9"/>
            <w:tcMar>
              <w:top w:w="100" w:type="dxa"/>
              <w:bottom w:w="100" w:type="dxa"/>
              <w:left w:w="140" w:type="dxa"/>
              <w:right w:w="140" w:type="dxa"/>
            </w:tcMar>
          </w:tcPr>
          <w:p>
            <w:pPr>
              <w:jc w:val="left"/>
            </w:pPr>
            <w:r>
              <w:rPr>
                <w:rFonts w:ascii="Calibri" w:hAnsi="Calibri"/>
                <w:b w:val="0"/>
                <w:i w:val="0"/>
                <w:color w:val="166534"/>
                <w:sz w:val="18"/>
              </w:rPr>
              <w:t>Verified Working</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Consistent (Delta Pending)</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Historical pre-trigger delta</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Step 2 (Backfill Delta)</w:t>
            </w:r>
          </w:p>
        </w:tc>
      </w:tr>
      <w:tr>
        <w:tc>
          <w:tcPr>
            <w:tcW w:type="dxa" w:w="994"/>
            <w:shd w:fill="FFFFFF"/>
            <w:tcMar>
              <w:top w:w="100" w:type="dxa"/>
              <w:bottom w:w="100" w:type="dxa"/>
              <w:left w:w="140" w:type="dxa"/>
              <w:right w:w="140" w:type="dxa"/>
            </w:tcMar>
          </w:tcPr>
          <w:p>
            <w:pPr>
              <w:jc w:val="left"/>
            </w:pPr>
            <w:r>
              <w:rPr>
                <w:rFonts w:ascii="Calibri" w:hAnsi="Calibri"/>
                <w:b/>
                <w:i w:val="0"/>
                <w:color w:val="222222"/>
                <w:sz w:val="18"/>
              </w:rPr>
              <w:t>Module 3: LMS + PAL</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MariaDB + Neo4j</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Pipeline A &amp; B</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Curriculum, Mastery, Coherence</w:t>
            </w:r>
          </w:p>
        </w:tc>
        <w:tc>
          <w:tcPr>
            <w:tcW w:type="dxa" w:w="994"/>
            <w:shd w:fill="FFFFFF"/>
            <w:tcMar>
              <w:top w:w="100" w:type="dxa"/>
              <w:bottom w:w="100" w:type="dxa"/>
              <w:left w:w="140" w:type="dxa"/>
              <w:right w:w="140" w:type="dxa"/>
            </w:tcMar>
          </w:tcPr>
          <w:p>
            <w:pPr>
              <w:jc w:val="left"/>
            </w:pPr>
            <w:r>
              <w:rPr>
                <w:rFonts w:ascii="Calibri" w:hAnsi="Calibri"/>
                <w:b w:val="0"/>
                <w:i w:val="0"/>
                <w:color w:val="166534"/>
                <w:sz w:val="18"/>
              </w:rPr>
              <w:t>Verified Working</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Consistent</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11.3k Unrecoverable legacy content</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Step 3 (Queue Archival)</w:t>
            </w:r>
          </w:p>
        </w:tc>
      </w:tr>
      <w:tr>
        <w:tc>
          <w:tcPr>
            <w:tcW w:type="dxa" w:w="994"/>
            <w:shd w:fill="F1F5F9"/>
            <w:tcMar>
              <w:top w:w="100" w:type="dxa"/>
              <w:bottom w:w="100" w:type="dxa"/>
              <w:left w:w="140" w:type="dxa"/>
              <w:right w:w="140" w:type="dxa"/>
            </w:tcMar>
          </w:tcPr>
          <w:p>
            <w:pPr>
              <w:jc w:val="left"/>
            </w:pPr>
            <w:r>
              <w:rPr>
                <w:rFonts w:ascii="Calibri" w:hAnsi="Calibri"/>
                <w:b/>
                <w:i w:val="0"/>
                <w:color w:val="222222"/>
                <w:sz w:val="18"/>
              </w:rPr>
              <w:t>Module 4: People &amp; Comp</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MariaDB + Neo4j</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Pipeline A</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Staff, Teacher, Skills, Framework</w:t>
            </w:r>
          </w:p>
        </w:tc>
        <w:tc>
          <w:tcPr>
            <w:tcW w:type="dxa" w:w="994"/>
            <w:shd w:fill="F1F5F9"/>
            <w:tcMar>
              <w:top w:w="100" w:type="dxa"/>
              <w:bottom w:w="100" w:type="dxa"/>
              <w:left w:w="140" w:type="dxa"/>
              <w:right w:w="140" w:type="dxa"/>
            </w:tcMar>
          </w:tcPr>
          <w:p>
            <w:pPr>
              <w:jc w:val="left"/>
            </w:pPr>
            <w:r>
              <w:rPr>
                <w:rFonts w:ascii="Calibri" w:hAnsi="Calibri"/>
                <w:b w:val="0"/>
                <w:i w:val="0"/>
                <w:color w:val="166534"/>
                <w:sz w:val="18"/>
              </w:rPr>
              <w:t>Verified Working</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Consistent</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None (last_login excluded)</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None required</w:t>
            </w:r>
          </w:p>
        </w:tc>
      </w:tr>
      <w:tr>
        <w:tc>
          <w:tcPr>
            <w:tcW w:type="dxa" w:w="994"/>
            <w:shd w:fill="FFFFFF"/>
            <w:tcMar>
              <w:top w:w="100" w:type="dxa"/>
              <w:bottom w:w="100" w:type="dxa"/>
              <w:left w:w="140" w:type="dxa"/>
              <w:right w:w="140" w:type="dxa"/>
            </w:tcMar>
          </w:tcPr>
          <w:p>
            <w:pPr>
              <w:jc w:val="left"/>
            </w:pPr>
            <w:r>
              <w:rPr>
                <w:rFonts w:ascii="Calibri" w:hAnsi="Calibri"/>
                <w:b/>
                <w:i w:val="0"/>
                <w:color w:val="222222"/>
                <w:sz w:val="18"/>
              </w:rPr>
              <w:t>Module 5: Enterprise Brain</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MariaDB + Neo4j</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GraphRag Port</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Concept &amp; Mastery Retrieval</w:t>
            </w:r>
          </w:p>
        </w:tc>
        <w:tc>
          <w:tcPr>
            <w:tcW w:type="dxa" w:w="994"/>
            <w:shd w:fill="FFFFFF"/>
            <w:tcMar>
              <w:top w:w="100" w:type="dxa"/>
              <w:bottom w:w="100" w:type="dxa"/>
              <w:left w:w="140" w:type="dxa"/>
              <w:right w:w="140" w:type="dxa"/>
            </w:tcMar>
          </w:tcPr>
          <w:p>
            <w:pPr>
              <w:jc w:val="left"/>
            </w:pPr>
            <w:r>
              <w:rPr>
                <w:rFonts w:ascii="Calibri" w:hAnsi="Calibri"/>
                <w:b w:val="0"/>
                <w:i w:val="0"/>
                <w:color w:val="166534"/>
                <w:sz w:val="18"/>
              </w:rPr>
              <w:t>Verified Working</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Consistent</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None</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None required</w:t>
            </w:r>
          </w:p>
        </w:tc>
      </w:tr>
      <w:tr>
        <w:tc>
          <w:tcPr>
            <w:tcW w:type="dxa" w:w="994"/>
            <w:shd w:fill="F1F5F9"/>
            <w:tcMar>
              <w:top w:w="100" w:type="dxa"/>
              <w:bottom w:w="100" w:type="dxa"/>
              <w:left w:w="140" w:type="dxa"/>
              <w:right w:w="140" w:type="dxa"/>
            </w:tcMar>
          </w:tcPr>
          <w:p>
            <w:pPr>
              <w:jc w:val="left"/>
            </w:pPr>
            <w:r>
              <w:rPr>
                <w:rFonts w:ascii="Calibri" w:hAnsi="Calibri"/>
                <w:b/>
                <w:i w:val="0"/>
                <w:color w:val="222222"/>
                <w:sz w:val="18"/>
              </w:rPr>
              <w:t>Module 6: Career Counselling</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MariaDB + Neo4j</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Pipeline A &amp; C</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Counselling Course &amp; O*NET</w:t>
            </w:r>
          </w:p>
        </w:tc>
        <w:tc>
          <w:tcPr>
            <w:tcW w:type="dxa" w:w="994"/>
            <w:shd w:fill="F1F5F9"/>
            <w:tcMar>
              <w:top w:w="100" w:type="dxa"/>
              <w:bottom w:w="100" w:type="dxa"/>
              <w:left w:w="140" w:type="dxa"/>
              <w:right w:w="140" w:type="dxa"/>
            </w:tcMar>
          </w:tcPr>
          <w:p>
            <w:pPr>
              <w:jc w:val="left"/>
            </w:pPr>
            <w:r>
              <w:rPr>
                <w:rFonts w:ascii="Calibri" w:hAnsi="Calibri"/>
                <w:b w:val="0"/>
                <w:i w:val="0"/>
                <w:color w:val="B45309"/>
                <w:sz w:val="18"/>
              </w:rPr>
              <w:t>Partially Verified</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Consistent</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10 O*NET tables unpopulated</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1F5F9"/>
            <w:tcMar>
              <w:top w:w="100" w:type="dxa"/>
              <w:bottom w:w="100" w:type="dxa"/>
              <w:left w:w="140" w:type="dxa"/>
              <w:right w:w="140" w:type="dxa"/>
            </w:tcMar>
          </w:tcPr>
          <w:p>
            <w:pPr>
              <w:jc w:val="left"/>
            </w:pPr>
            <w:r>
              <w:rPr>
                <w:rFonts w:ascii="Calibri" w:hAnsi="Calibri"/>
                <w:b w:val="0"/>
                <w:i w:val="0"/>
                <w:color w:val="222222"/>
                <w:sz w:val="18"/>
              </w:rPr>
              <w:t>None required</w:t>
            </w:r>
          </w:p>
        </w:tc>
      </w:tr>
      <w:tr>
        <w:tc>
          <w:tcPr>
            <w:tcW w:type="dxa" w:w="994"/>
            <w:shd w:fill="FFFFFF"/>
            <w:tcMar>
              <w:top w:w="100" w:type="dxa"/>
              <w:bottom w:w="100" w:type="dxa"/>
              <w:left w:w="140" w:type="dxa"/>
              <w:right w:w="140" w:type="dxa"/>
            </w:tcMar>
          </w:tcPr>
          <w:p>
            <w:pPr>
              <w:jc w:val="left"/>
            </w:pPr>
            <w:r>
              <w:rPr>
                <w:rFonts w:ascii="Calibri" w:hAnsi="Calibri"/>
                <w:b/>
                <w:i w:val="0"/>
                <w:color w:val="222222"/>
                <w:sz w:val="18"/>
              </w:rPr>
              <w:t>Module 7: Reports</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MariaDB + Neo4j</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Pipeline A</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Examination, Result, Analytics</w:t>
            </w:r>
          </w:p>
        </w:tc>
        <w:tc>
          <w:tcPr>
            <w:tcW w:type="dxa" w:w="994"/>
            <w:shd w:fill="FFFFFF"/>
            <w:tcMar>
              <w:top w:w="100" w:type="dxa"/>
              <w:bottom w:w="100" w:type="dxa"/>
              <w:left w:w="140" w:type="dxa"/>
              <w:right w:w="140" w:type="dxa"/>
            </w:tcMar>
          </w:tcPr>
          <w:p>
            <w:pPr>
              <w:jc w:val="left"/>
            </w:pPr>
            <w:r>
              <w:rPr>
                <w:rFonts w:ascii="Calibri" w:hAnsi="Calibri"/>
                <w:b w:val="0"/>
                <w:i w:val="0"/>
                <w:color w:val="166534"/>
                <w:sz w:val="18"/>
              </w:rPr>
              <w:t>Verified Working</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2026-10-29</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Consistent (D10 Intentional)</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36.4k Result missing tenant</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Complete</w:t>
            </w:r>
          </w:p>
        </w:tc>
        <w:tc>
          <w:tcPr>
            <w:tcW w:type="dxa" w:w="994"/>
            <w:shd w:fill="FFFFFF"/>
            <w:tcMar>
              <w:top w:w="100" w:type="dxa"/>
              <w:bottom w:w="100" w:type="dxa"/>
              <w:left w:w="140" w:type="dxa"/>
              <w:right w:w="140" w:type="dxa"/>
            </w:tcMar>
          </w:tcPr>
          <w:p>
            <w:pPr>
              <w:jc w:val="left"/>
            </w:pPr>
            <w:r>
              <w:rPr>
                <w:rFonts w:ascii="Calibri" w:hAnsi="Calibri"/>
                <w:b w:val="0"/>
                <w:i w:val="0"/>
                <w:color w:val="222222"/>
                <w:sz w:val="18"/>
              </w:rPr>
              <w:t>Step 1 (Tenant Backfill)</w:t>
            </w:r>
          </w:p>
        </w:tc>
      </w:tr>
    </w:tbl>
    <w:p>
      <w:pPr>
        <w:spacing w:after="120"/>
      </w:pPr>
    </w:p>
    <w:p>
      <w:pPr>
        <w:keepNext/>
        <w:spacing w:before="360" w:after="120"/>
      </w:pPr>
      <w:r>
        <w:rPr>
          <w:rFonts w:ascii="Calibri" w:hAnsi="Calibri"/>
          <w:b/>
          <w:color w:val="1B365D"/>
          <w:sz w:val="30"/>
        </w:rPr>
        <w:t>22. Appendix: Technical References &amp; Validation Queries</w:t>
      </w:r>
    </w:p>
    <w:p>
      <w:pPr>
        <w:spacing w:after="80" w:line="276" w:lineRule="auto"/>
      </w:pPr>
      <w:r>
        <w:rPr>
          <w:rFonts w:ascii="Calibri" w:hAnsi="Calibri"/>
          <w:color w:val="222222"/>
          <w:sz w:val="19"/>
        </w:rPr>
        <w:t>Key Class Names, Commands, Table Names, and Read-Only Verification Queries:</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pPr>
            <w:r>
              <w:rPr>
                <w:rFonts w:ascii="Consolas" w:hAnsi="Consolas"/>
                <w:color w:val="1E293B"/>
                <w:sz w:val="17"/>
              </w:rPr>
              <w:br/>
              <w:t>1. Core Classes &amp; Services:</w:t>
              <w:br/>
              <w:t xml:space="preserve">   - App\Services\Graph\GraphDrain (Outbox consumer)</w:t>
              <w:br/>
              <w:t xml:space="preserve">   - App\Services\Graph\TableGraphProjection (Generic entity projector)</w:t>
              <w:br/>
              <w:t xml:space="preserve">   - App\Services\Graph\StudentGraphProjection (Bespoke student &amp; enrolment projector)</w:t>
              <w:br/>
              <w:t xml:space="preserve">   - App\Services\Graph\StaffGraphProjection (Bespoke staff &amp; teacher projector)</w:t>
              <w:br/>
              <w:t xml:space="preserve">   - App\Services\Graph\ResultGraphProjection (Bespoke online exam result projector)</w:t>
              <w:br/>
              <w:t xml:space="preserve">   - App\Services\Graph\EngagementGraphProjection (Bespoke student engagement projector)</w:t>
              <w:br/>
              <w:t xml:space="preserve">   - App\Services\Graph\CoherenceGraphProjection (PAL Set Coherence map bulk Cypher projector)</w:t>
              <w:br/>
              <w:t xml:space="preserve">   - App\Services\Graph\ProjectionRegistry (Resolves tables to projections)</w:t>
              <w:br/>
              <w:t xml:space="preserve">   - App\Services\Graph\GraphSchema (Label and relationship whitelist)</w:t>
              <w:br/>
              <w:br/>
              <w:t>2. Artisan Console Commands:</w:t>
              <w:br/>
              <w:t xml:space="preserve">   - php artisan neo4j:drain [--status|--nodes-only|--rels-only|--watch=N]</w:t>
              <w:br/>
              <w:t xml:space="preserve">   - php artisan neo4j:completeness [--label=Name]</w:t>
              <w:br/>
              <w:t xml:space="preserve">   - php artisan neo4j:verify [--skip-counts|--module=Name]</w:t>
              <w:br/>
              <w:t xml:space="preserve">   - php artisan neo4j:failed-queue [--requeue|--source=X|--rel=Y|--force-unrecoverable]</w:t>
              <w:br/>
              <w:t xml:space="preserve">   - php artisan neo4j:reconcile [--relationships|--fix|--dry-run]</w:t>
              <w:br/>
              <w:t xml:space="preserve">   - php artisan neo4j:copy-lms-pal (HTTP secondary migration)</w:t>
              <w:br/>
              <w:br/>
              <w:t>3. Key SQL Tables:</w:t>
              <w:br/>
              <w:t xml:space="preserve">   - sync_log (Transactional node outbox)</w:t>
              <w:br/>
              <w:t xml:space="preserve">   - neo4j_sync_queue (Transactional relationship outbox)</w:t>
              <w:br/>
              <w:t xml:space="preserve">   - tblstudent, tblstudent_enrollment, tbluser, chapter_master, lms_concept, lms_online_exam</w:t>
              <w:br/>
              <w:t xml:space="preserve">   - division, academic_year, hrms_departments, school_setup (New triggered foundation tables)</w:t>
              <w:br/>
              <w:br/>
              <w:t>4. Read-Only Validation Queries (MariaDB):</w:t>
              <w:br/>
              <w:t xml:space="preserve">   - SELECT status, count(*) FROM sync_log GROUP BY status;</w:t>
              <w:br/>
              <w:t xml:space="preserve">   - SELECT status, count(*) FROM neo4j_sync_queue GROUP BY status;</w:t>
              <w:br/>
              <w:t xml:space="preserve">   - SELECT TRIGGER_NAME, EVENT_OBJECT_TABLE FROM INFORMATION_SCHEMA.TRIGGERS WHERE TRIGGER_SCHEMA = DATABASE();</w:t>
              <w:br/>
              <w:br/>
              <w:t>5. Read-Only Verification Queries (Neo4j Cypher):</w:t>
              <w:br/>
              <w:t xml:space="preserve">   - MATCH (n) RETURN labels(n)[0] AS label, count(*) AS count ORDER BY count DESC;</w:t>
              <w:br/>
              <w:t xml:space="preserve">   - MATCH ()-[r]-&gt;() RETURN type(r) AS relType, count(*) AS count ORDER BY count DESC;</w:t>
              <w:br/>
              <w:t xml:space="preserve">   - MATCH (n) WHERE n.sub_institute_id IS NULL RETURN labels(n)[0], count(*);</w:t>
              <w:br/>
              <w:t xml:space="preserve">   - MATCH (s)-[r]-&gt;(t) WHERE s.sub_institute_id &lt;&gt; t.sub_institute_id RETURN type(r), count(*);</w:t>
              <w:br/>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