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E4194"/>
          <w:sz w:val="44"/>
        </w:rPr>
        <w:t>LAB 1 - ANALYTICAL REPORT</w:t>
      </w:r>
    </w:p>
    <w:p>
      <w:pPr>
        <w:spacing w:after="80"/>
        <w:jc w:val="center"/>
      </w:pPr>
      <w:r>
        <w:rPr>
          <w:b/>
          <w:color w:val="464646"/>
          <w:sz w:val="26"/>
        </w:rPr>
        <w:t>Types of Data Analytics Applied to the Project CCHAIN Dataset</w:t>
      </w:r>
    </w:p>
    <w:p>
      <w:pPr>
        <w:spacing w:after="280"/>
        <w:jc w:val="center"/>
      </w:pPr>
      <w:r>
        <w:rPr>
          <w:i/>
          <w:color w:val="5A5A5A"/>
          <w:sz w:val="21"/>
        </w:rPr>
        <w:t>Topic: Climate-Driven Vector-Borne Dengue Outbreak Surveillance &amp; Proactive Intervention Engine</w:t>
      </w:r>
    </w:p>
    <w:tbl>
      <w:tblPr>
        <w:tblW w:type="auto" w:w="0"/>
        <w:jc w:val="center"/>
        <w:tblLayout w:type="fixed"/>
        <w:tblLook w:firstColumn="1" w:firstRow="1" w:lastColumn="0" w:lastRow="0" w:noHBand="0" w:noVBand="1" w:val="04A0"/>
      </w:tblPr>
      <w:tblGrid>
        <w:gridCol w:w="4968"/>
        <w:gridCol w:w="4968"/>
      </w:tblGrid>
      <w:tr>
        <w:tc>
          <w:tcPr>
            <w:tcW w:type="dxa" w:w="2592"/>
            <w:shd w:fill="F0F4F8"/>
            <w:tcMar>
              <w:top w:w="80" w:type="dxa"/>
              <w:bottom w:w="80" w:type="dxa"/>
              <w:left w:w="120" w:type="dxa"/>
              <w:right w:w="120" w:type="dxa"/>
            </w:tcMar>
          </w:tcPr>
          <w:p>
            <w:r>
              <w:rPr>
                <w:b/>
                <w:color w:val="1E293B"/>
                <w:sz w:val="19"/>
              </w:rPr>
              <w:t>Course &amp; Module</w:t>
            </w:r>
          </w:p>
        </w:tc>
        <w:tc>
          <w:tcPr>
            <w:tcW w:type="dxa" w:w="6912"/>
            <w:shd w:fill="FFFFFF"/>
            <w:tcMar>
              <w:top w:w="80" w:type="dxa"/>
              <w:bottom w:w="80" w:type="dxa"/>
              <w:left w:w="120" w:type="dxa"/>
              <w:right w:w="120" w:type="dxa"/>
            </w:tcMar>
          </w:tcPr>
          <w:p>
            <w:r>
              <w:rPr>
                <w:color w:val="334155"/>
                <w:sz w:val="19"/>
              </w:rPr>
              <w:t>Data Mining and Analytics (DMA) — Module 2: Types of Data Analytics</w:t>
            </w:r>
          </w:p>
        </w:tc>
      </w:tr>
      <w:tr>
        <w:tc>
          <w:tcPr>
            <w:tcW w:type="dxa" w:w="2592"/>
            <w:shd w:fill="F0F4F8"/>
            <w:tcMar>
              <w:top w:w="80" w:type="dxa"/>
              <w:bottom w:w="80" w:type="dxa"/>
              <w:left w:w="120" w:type="dxa"/>
              <w:right w:w="120" w:type="dxa"/>
            </w:tcMar>
          </w:tcPr>
          <w:p>
            <w:r>
              <w:rPr>
                <w:b/>
                <w:color w:val="1E293B"/>
                <w:sz w:val="19"/>
              </w:rPr>
              <w:t>Dataset Source</w:t>
            </w:r>
          </w:p>
        </w:tc>
        <w:tc>
          <w:tcPr>
            <w:tcW w:type="dxa" w:w="6912"/>
            <w:shd w:fill="FFFFFF"/>
            <w:tcMar>
              <w:top w:w="80" w:type="dxa"/>
              <w:bottom w:w="80" w:type="dxa"/>
              <w:left w:w="120" w:type="dxa"/>
              <w:right w:w="120" w:type="dxa"/>
            </w:tcMar>
          </w:tcPr>
          <w:p>
            <w:r>
              <w:rPr>
                <w:color w:val="334155"/>
                <w:sz w:val="19"/>
              </w:rPr>
              <w:t>Project CCHAIN (Kaggle: thinkdatasci/project-cchain | Manila Observatory &amp; EpiMetrics)</w:t>
            </w:r>
          </w:p>
        </w:tc>
      </w:tr>
      <w:tr>
        <w:tc>
          <w:tcPr>
            <w:tcW w:type="dxa" w:w="2592"/>
            <w:shd w:fill="F0F4F8"/>
            <w:tcMar>
              <w:top w:w="80" w:type="dxa"/>
              <w:bottom w:w="80" w:type="dxa"/>
              <w:left w:w="120" w:type="dxa"/>
              <w:right w:w="120" w:type="dxa"/>
            </w:tcMar>
          </w:tcPr>
          <w:p>
            <w:r>
              <w:rPr>
                <w:b/>
                <w:color w:val="1E293B"/>
                <w:sz w:val="19"/>
              </w:rPr>
              <w:t>Target Municipality</w:t>
            </w:r>
          </w:p>
        </w:tc>
        <w:tc>
          <w:tcPr>
            <w:tcW w:type="dxa" w:w="6912"/>
            <w:shd w:fill="FFFFFF"/>
            <w:tcMar>
              <w:top w:w="80" w:type="dxa"/>
              <w:bottom w:w="80" w:type="dxa"/>
              <w:left w:w="120" w:type="dxa"/>
              <w:right w:w="120" w:type="dxa"/>
            </w:tcMar>
          </w:tcPr>
          <w:p>
            <w:r>
              <w:rPr>
                <w:color w:val="334155"/>
                <w:sz w:val="19"/>
              </w:rPr>
              <w:t>Cagayan de Oro (CDO), Philippines (80 Barangays, 2003–2022 Longitudinal Matrix)</w:t>
            </w:r>
          </w:p>
        </w:tc>
      </w:tr>
    </w:tbl>
    <w:p>
      <w:pPr>
        <w:spacing w:after="200"/>
      </w:pPr>
    </w:p>
    <w:p>
      <w:pPr>
        <w:spacing w:before="160" w:after="80"/>
      </w:pPr>
      <w:r>
        <w:rPr>
          <w:b/>
          <w:color w:val="0E4194"/>
          <w:sz w:val="26"/>
        </w:rPr>
        <w:t>1. Topic Claiming Submission (For DMA_GROUP ASSIGNMENTS)</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40" w:type="dxa"/>
              <w:right w:w="140" w:type="dxa"/>
            </w:tcMar>
          </w:tcPr>
          <w:p>
            <w:r>
              <w:rPr>
                <w:b/>
                <w:color w:val="0F172A"/>
                <w:sz w:val="20"/>
              </w:rPr>
              <w:t>Claimed Dataset Combination &amp; Problem Angle:</w:t>
              <w:br/>
            </w:r>
            <w:r>
              <w:rPr>
                <w:i/>
                <w:color w:val="334155"/>
                <w:sz w:val="20"/>
              </w:rPr>
              <w:t>climate_atmosphere.csv + disease_lgu_disaggregated_totals.csv + google_open_buildings.csv + worldpop_population.csv + location.csv. Can multi-month atmospheric climate lags (rainfall, ambient temperature, heat index) fused with urban building density and population exposure predict localized dengue outbreak risks 30 to 60 days in advance to prescriptively schedule LGU vector-control and clinical resource deployment?</w:t>
            </w:r>
          </w:p>
        </w:tc>
      </w:tr>
    </w:tbl>
    <w:p>
      <w:pPr>
        <w:spacing w:before="240" w:after="80"/>
      </w:pPr>
      <w:r>
        <w:rPr>
          <w:b/>
          <w:color w:val="0E4194"/>
          <w:sz w:val="26"/>
        </w:rPr>
        <w:t>2. Core Operational Problem Scenario (2–3 Sentences)</w:t>
      </w:r>
    </w:p>
    <w:p>
      <w:pPr>
        <w:spacing w:line="276" w:lineRule="auto" w:after="160"/>
      </w:pPr>
      <w:r>
        <w:rPr>
          <w:color w:val="1E293B"/>
          <w:sz w:val="21"/>
        </w:rPr>
        <w:t>Local Government Units (LGUs) and City Health Offices in the Philippines consistently suffer from reactive, delayed vector-control interventions during monsoonal dengue surges due to the lack of an integrated predictive surveillance framework. Because mosquito vector proliferation (Aedes aegypti) and viral extrinsic incubation exhibit a biological time lag of 1 to 3 months following climate anomalies, relying solely on passive clinical hospital admissions guarantees that interventions occur after the outbreak has already peaked. By bridging atmospheric lag dynamics with barangay-level structural vulnerabilities (building footprint density and population exposure), municipal health officials can forecast epidemic risk 30 to 60 days in advance and transition to proactive larviciding, spatial fogging, and dynamic hospital capacity reallocation.</w:t>
      </w:r>
    </w:p>
    <w:p>
      <w:pPr>
        <w:spacing w:before="240" w:after="120"/>
      </w:pPr>
      <w:r>
        <w:rPr>
          <w:b/>
          <w:color w:val="0E4194"/>
          <w:sz w:val="26"/>
        </w:rPr>
        <w:t>3. Formulated Analytical Questions Across the Four Types of Analytics</w:t>
      </w:r>
    </w:p>
    <w:p>
      <w:pPr>
        <w:spacing w:before="120" w:after="40"/>
      </w:pPr>
      <w:r>
        <w:rPr>
          <w:b/>
          <w:color w:val="1E3A8A"/>
          <w:sz w:val="22"/>
        </w:rPr>
        <w:t>A. Descriptive Analytics (What Happened in the Historical Record?)</w:t>
      </w:r>
    </w:p>
    <w:p>
      <w:pPr>
        <w:pStyle w:val="ListBullet"/>
        <w:spacing w:after="40"/>
      </w:pPr>
      <w:r>
        <w:rPr>
          <w:b/>
          <w:color w:val="0F172A"/>
          <w:sz w:val="20"/>
        </w:rPr>
        <w:t xml:space="preserve">Question 1 (Temporal Baseline): </w:t>
      </w:r>
      <w:r>
        <w:rPr>
          <w:color w:val="334155"/>
          <w:sz w:val="20"/>
        </w:rPr>
        <w:t>What are the historical monthly caseload trajectories, seasonal baseline cycles, and epidemic wave patterns of dengue across Cagayan de Oro's 80 barangays over the 20-year surveillance span (2003–2022)?</w:t>
      </w:r>
    </w:p>
    <w:p>
      <w:pPr>
        <w:pStyle w:val="ListBullet"/>
        <w:spacing w:after="40"/>
      </w:pPr>
      <w:r>
        <w:rPr>
          <w:b/>
          <w:color w:val="0F172A"/>
          <w:sz w:val="20"/>
        </w:rPr>
        <w:t xml:space="preserve">Question 2 (Spatial Distribution): </w:t>
      </w:r>
      <w:r>
        <w:rPr>
          <w:color w:val="334155"/>
          <w:sz w:val="20"/>
        </w:rPr>
        <w:t>Which specific barangays and geographic clusters consistently exhibit the highest endemic incidence rates, cumulative disease burden, and fatality counts?</w:t>
      </w:r>
    </w:p>
    <w:p>
      <w:pPr>
        <w:spacing w:before="120" w:after="40"/>
      </w:pPr>
      <w:r>
        <w:rPr>
          <w:b/>
          <w:color w:val="1E3A8A"/>
          <w:sz w:val="22"/>
        </w:rPr>
        <w:t>B. Diagnostic Analytics (Why Did Outbreaks &amp; Spikes Occur?)</w:t>
      </w:r>
    </w:p>
    <w:p>
      <w:pPr>
        <w:pStyle w:val="ListBullet"/>
        <w:spacing w:after="40"/>
      </w:pPr>
      <w:r>
        <w:rPr>
          <w:b/>
          <w:color w:val="0F172A"/>
          <w:sz w:val="20"/>
        </w:rPr>
        <w:t xml:space="preserve">Question 3 (Biological Lag Dynamics): </w:t>
      </w:r>
      <w:r>
        <w:rPr>
          <w:color w:val="334155"/>
          <w:sz w:val="20"/>
        </w:rPr>
        <w:t>What is the exact delay and non-linear relationship between atmospheric anomalies (peak rainfall, mean ambient temperature, heat index) and subsequent dengue caseload spikes across 1-month, 2-month, and 3-month biological lag intervals?</w:t>
      </w:r>
    </w:p>
    <w:p>
      <w:pPr>
        <w:pStyle w:val="ListBullet"/>
        <w:spacing w:after="40"/>
      </w:pPr>
      <w:r>
        <w:rPr>
          <w:b/>
          <w:color w:val="0F172A"/>
          <w:sz w:val="20"/>
        </w:rPr>
        <w:t xml:space="preserve">Question 4 (Built-Environment Vulnerability): </w:t>
      </w:r>
      <w:r>
        <w:rPr>
          <w:color w:val="334155"/>
          <w:sz w:val="20"/>
        </w:rPr>
        <w:t>Why do certain adjacent barangays with identical meteorological exposure experience radically different outbreak magnitudes when accounting for building footprint density and human population concentration?</w:t>
      </w:r>
    </w:p>
    <w:p>
      <w:pPr>
        <w:spacing w:before="120" w:after="40"/>
      </w:pPr>
      <w:r>
        <w:rPr>
          <w:b/>
          <w:color w:val="1E3A8A"/>
          <w:sz w:val="22"/>
        </w:rPr>
        <w:t>C. Predictive Analytics (What Outbreak Events Will Happen in the Future?)</w:t>
      </w:r>
    </w:p>
    <w:p>
      <w:pPr>
        <w:pStyle w:val="ListBullet"/>
        <w:spacing w:after="40"/>
      </w:pPr>
      <w:r>
        <w:rPr>
          <w:b/>
          <w:color w:val="0F172A"/>
          <w:sz w:val="20"/>
        </w:rPr>
        <w:t xml:space="preserve">Question 5 (Multi-Month Caseload Prediction): </w:t>
      </w:r>
      <w:r>
        <w:rPr>
          <w:color w:val="334155"/>
          <w:sz w:val="20"/>
        </w:rPr>
        <w:t>Given 30-to-60 day forecasted climate anomalies, what is the expected dengue caseload per barangay over the next 1 to 2 months?</w:t>
      </w:r>
    </w:p>
    <w:p>
      <w:pPr>
        <w:pStyle w:val="ListBullet"/>
        <w:spacing w:after="40"/>
      </w:pPr>
      <w:r>
        <w:rPr>
          <w:b/>
          <w:color w:val="0F172A"/>
          <w:sz w:val="20"/>
        </w:rPr>
        <w:t xml:space="preserve">Question 6 (Epidemic Threshold Classification): </w:t>
      </w:r>
      <w:r>
        <w:rPr>
          <w:color w:val="334155"/>
          <w:sz w:val="20"/>
        </w:rPr>
        <w:t>Can a machine learning model accurately classify whether an individual barangay will breach its historical epidemic outbreak threshold (≥ 75th percentile) 30 to 60 days in advance?</w:t>
      </w:r>
    </w:p>
    <w:p>
      <w:pPr>
        <w:spacing w:before="120" w:after="40"/>
      </w:pPr>
      <w:r>
        <w:rPr>
          <w:b/>
          <w:color w:val="C2410C"/>
          <w:sz w:val="22"/>
        </w:rPr>
        <w:t>D. Prescriptive Analytics (What Specific Actions Should the LGU Take?)</w:t>
      </w:r>
    </w:p>
    <w:p>
      <w:pPr>
        <w:pStyle w:val="ListBullet"/>
        <w:spacing w:after="40"/>
      </w:pPr>
      <w:r>
        <w:rPr>
          <w:b/>
          <w:color w:val="0F172A"/>
          <w:sz w:val="20"/>
        </w:rPr>
        <w:t xml:space="preserve">Question 7 (Targeted Vector-Control Routing): </w:t>
      </w:r>
      <w:r>
        <w:rPr>
          <w:color w:val="334155"/>
          <w:sz w:val="20"/>
        </w:rPr>
        <w:t>What is the mathematically optimal schedule and spatial routing for municipal fumigation, larvicidal application, and community clean-up teams across high-risk barangays given constrained municipal operational budgets?</w:t>
      </w:r>
    </w:p>
    <w:p>
      <w:pPr>
        <w:pStyle w:val="ListBullet"/>
        <w:spacing w:after="40"/>
      </w:pPr>
      <w:r>
        <w:rPr>
          <w:b/>
          <w:color w:val="0F172A"/>
          <w:sz w:val="20"/>
        </w:rPr>
        <w:t xml:space="preserve">Question 8 (Dynamic Clinical Resource Scheduling): </w:t>
      </w:r>
      <w:r>
        <w:rPr>
          <w:color w:val="334155"/>
          <w:sz w:val="20"/>
        </w:rPr>
        <w:t>How should municipal health centers, triage personnel, rapid diagnostic test kits (NS1/IgM), and inpatient hydration beds be dynamically allocated across district health clusters 3 weeks prior to a climate-predicted epidemic surge?</w:t>
      </w:r>
    </w:p>
    <w:p>
      <w:pPr>
        <w:spacing w:before="280" w:after="120"/>
      </w:pPr>
      <w:r>
        <w:rPr>
          <w:b/>
          <w:color w:val="0E4194"/>
          <w:sz w:val="26"/>
        </w:rPr>
        <w:t>4. Proposed Technical Methodology &amp; Analytical Stack</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1E3A8A"/>
            <w:tcMar>
              <w:top w:w="100" w:type="dxa"/>
              <w:bottom w:w="100" w:type="dxa"/>
              <w:left w:w="100" w:type="dxa"/>
              <w:right w:w="100" w:type="dxa"/>
            </w:tcMar>
          </w:tcPr>
          <w:p>
            <w:r>
              <w:rPr>
                <w:b/>
                <w:color w:val="FFFFFF"/>
                <w:sz w:val="17"/>
              </w:rPr>
              <w:t>Question Scope</w:t>
            </w:r>
          </w:p>
        </w:tc>
        <w:tc>
          <w:tcPr>
            <w:tcW w:type="dxa" w:w="1296"/>
            <w:shd w:fill="1E3A8A"/>
            <w:tcMar>
              <w:top w:w="100" w:type="dxa"/>
              <w:bottom w:w="100" w:type="dxa"/>
              <w:left w:w="100" w:type="dxa"/>
              <w:right w:w="100" w:type="dxa"/>
            </w:tcMar>
          </w:tcPr>
          <w:p>
            <w:r>
              <w:rPr>
                <w:b/>
                <w:color w:val="FFFFFF"/>
                <w:sz w:val="17"/>
              </w:rPr>
              <w:t>Analytics Type</w:t>
            </w:r>
          </w:p>
        </w:tc>
        <w:tc>
          <w:tcPr>
            <w:tcW w:type="dxa" w:w="2592"/>
            <w:shd w:fill="1E3A8A"/>
            <w:tcMar>
              <w:top w:w="100" w:type="dxa"/>
              <w:bottom w:w="100" w:type="dxa"/>
              <w:left w:w="100" w:type="dxa"/>
              <w:right w:w="100" w:type="dxa"/>
            </w:tcMar>
          </w:tcPr>
          <w:p>
            <w:r>
              <w:rPr>
                <w:b/>
                <w:color w:val="FFFFFF"/>
                <w:sz w:val="17"/>
              </w:rPr>
              <w:t>Data Mining &amp; Mathematical Techniques</w:t>
            </w:r>
          </w:p>
        </w:tc>
        <w:tc>
          <w:tcPr>
            <w:tcW w:type="dxa" w:w="1728"/>
            <w:shd w:fill="1E3A8A"/>
            <w:tcMar>
              <w:top w:w="100" w:type="dxa"/>
              <w:bottom w:w="100" w:type="dxa"/>
              <w:left w:w="100" w:type="dxa"/>
              <w:right w:w="100" w:type="dxa"/>
            </w:tcMar>
          </w:tcPr>
          <w:p>
            <w:r>
              <w:rPr>
                <w:b/>
                <w:color w:val="FFFFFF"/>
                <w:sz w:val="17"/>
              </w:rPr>
              <w:t>Technical Stack</w:t>
            </w:r>
          </w:p>
        </w:tc>
        <w:tc>
          <w:tcPr>
            <w:tcW w:type="dxa" w:w="2304"/>
            <w:shd w:fill="1E3A8A"/>
            <w:tcMar>
              <w:top w:w="100" w:type="dxa"/>
              <w:bottom w:w="100" w:type="dxa"/>
              <w:left w:w="100" w:type="dxa"/>
              <w:right w:w="100" w:type="dxa"/>
            </w:tcMar>
          </w:tcPr>
          <w:p>
            <w:r>
              <w:rPr>
                <w:b/>
                <w:color w:val="FFFFFF"/>
                <w:sz w:val="17"/>
              </w:rPr>
              <w:t>Validation Target</w:t>
            </w:r>
          </w:p>
        </w:tc>
      </w:tr>
      <w:tr>
        <w:tc>
          <w:tcPr>
            <w:tcW w:type="dxa" w:w="1584"/>
            <w:shd w:fill="F8FAFC"/>
            <w:tcMar>
              <w:top w:w="80" w:type="dxa"/>
              <w:bottom w:w="80" w:type="dxa"/>
              <w:left w:w="80" w:type="dxa"/>
              <w:right w:w="80" w:type="dxa"/>
            </w:tcMar>
          </w:tcPr>
          <w:p>
            <w:r>
              <w:rPr>
                <w:b/>
                <w:sz w:val="16"/>
              </w:rPr>
              <w:t>Q1 (Caseload Baseline)</w:t>
            </w:r>
          </w:p>
        </w:tc>
        <w:tc>
          <w:tcPr>
            <w:tcW w:type="dxa" w:w="1296"/>
            <w:shd w:fill="F8FAFC"/>
            <w:tcMar>
              <w:top w:w="80" w:type="dxa"/>
              <w:bottom w:w="80" w:type="dxa"/>
              <w:left w:w="80" w:type="dxa"/>
              <w:right w:w="80" w:type="dxa"/>
            </w:tcMar>
          </w:tcPr>
          <w:p>
            <w:r>
              <w:rPr>
                <w:b/>
                <w:color w:val="0E4194"/>
                <w:sz w:val="16"/>
              </w:rPr>
              <w:t>Descriptive</w:t>
            </w:r>
          </w:p>
        </w:tc>
        <w:tc>
          <w:tcPr>
            <w:tcW w:type="dxa" w:w="2592"/>
            <w:shd w:fill="F8FAFC"/>
            <w:tcMar>
              <w:top w:w="80" w:type="dxa"/>
              <w:bottom w:w="80" w:type="dxa"/>
              <w:left w:w="80" w:type="dxa"/>
              <w:right w:w="80" w:type="dxa"/>
            </w:tcMar>
          </w:tcPr>
          <w:p>
            <w:r>
              <w:rPr>
                <w:sz w:val="16"/>
              </w:rPr>
              <w:t>Time-Series Trend Decomposition (STL), Rolling Averages</w:t>
            </w:r>
          </w:p>
        </w:tc>
        <w:tc>
          <w:tcPr>
            <w:tcW w:type="dxa" w:w="1728"/>
            <w:shd w:fill="F8FAFC"/>
            <w:tcMar>
              <w:top w:w="80" w:type="dxa"/>
              <w:bottom w:w="80" w:type="dxa"/>
              <w:left w:w="80" w:type="dxa"/>
              <w:right w:w="80" w:type="dxa"/>
            </w:tcMar>
          </w:tcPr>
          <w:p>
            <w:r>
              <w:rPr>
                <w:sz w:val="16"/>
              </w:rPr>
              <w:t>pandas, statsmodels, seaborn</w:t>
            </w:r>
          </w:p>
        </w:tc>
        <w:tc>
          <w:tcPr>
            <w:tcW w:type="dxa" w:w="2304"/>
            <w:shd w:fill="F8FAFC"/>
            <w:tcMar>
              <w:top w:w="80" w:type="dxa"/>
              <w:bottom w:w="80" w:type="dxa"/>
              <w:left w:w="80" w:type="dxa"/>
              <w:right w:w="80" w:type="dxa"/>
            </w:tcMar>
          </w:tcPr>
          <w:p>
            <w:r>
              <w:rPr>
                <w:sz w:val="16"/>
              </w:rPr>
              <w:t>Establishes historical monsoonal baseline peaks (July–October)</w:t>
            </w:r>
          </w:p>
        </w:tc>
      </w:tr>
      <w:tr>
        <w:tc>
          <w:tcPr>
            <w:tcW w:type="dxa" w:w="1584"/>
            <w:shd w:fill="FFFFFF"/>
            <w:tcMar>
              <w:top w:w="80" w:type="dxa"/>
              <w:bottom w:w="80" w:type="dxa"/>
              <w:left w:w="80" w:type="dxa"/>
              <w:right w:w="80" w:type="dxa"/>
            </w:tcMar>
          </w:tcPr>
          <w:p>
            <w:r>
              <w:rPr>
                <w:b/>
                <w:sz w:val="16"/>
              </w:rPr>
              <w:t>Q2 (Spatial Hotspots)</w:t>
            </w:r>
          </w:p>
        </w:tc>
        <w:tc>
          <w:tcPr>
            <w:tcW w:type="dxa" w:w="1296"/>
            <w:shd w:fill="FFFFFF"/>
            <w:tcMar>
              <w:top w:w="80" w:type="dxa"/>
              <w:bottom w:w="80" w:type="dxa"/>
              <w:left w:w="80" w:type="dxa"/>
              <w:right w:w="80" w:type="dxa"/>
            </w:tcMar>
          </w:tcPr>
          <w:p>
            <w:r>
              <w:rPr>
                <w:b/>
                <w:color w:val="0E4194"/>
                <w:sz w:val="16"/>
              </w:rPr>
              <w:t>Descriptive</w:t>
            </w:r>
          </w:p>
        </w:tc>
        <w:tc>
          <w:tcPr>
            <w:tcW w:type="dxa" w:w="2592"/>
            <w:shd w:fill="FFFFFF"/>
            <w:tcMar>
              <w:top w:w="80" w:type="dxa"/>
              <w:bottom w:w="80" w:type="dxa"/>
              <w:left w:w="80" w:type="dxa"/>
              <w:right w:w="80" w:type="dxa"/>
            </w:tcMar>
          </w:tcPr>
          <w:p>
            <w:r>
              <w:rPr>
                <w:sz w:val="16"/>
              </w:rPr>
              <w:t>Spatial Autocorrelation (Moran's I), Chloropleth Mapping</w:t>
            </w:r>
          </w:p>
        </w:tc>
        <w:tc>
          <w:tcPr>
            <w:tcW w:type="dxa" w:w="1728"/>
            <w:shd w:fill="FFFFFF"/>
            <w:tcMar>
              <w:top w:w="80" w:type="dxa"/>
              <w:bottom w:w="80" w:type="dxa"/>
              <w:left w:w="80" w:type="dxa"/>
              <w:right w:w="80" w:type="dxa"/>
            </w:tcMar>
          </w:tcPr>
          <w:p>
            <w:r>
              <w:rPr>
                <w:sz w:val="16"/>
              </w:rPr>
              <w:t>geopandas, folium, shapely</w:t>
            </w:r>
          </w:p>
        </w:tc>
        <w:tc>
          <w:tcPr>
            <w:tcW w:type="dxa" w:w="2304"/>
            <w:shd w:fill="FFFFFF"/>
            <w:tcMar>
              <w:top w:w="80" w:type="dxa"/>
              <w:bottom w:w="80" w:type="dxa"/>
              <w:left w:w="80" w:type="dxa"/>
              <w:right w:w="80" w:type="dxa"/>
            </w:tcMar>
          </w:tcPr>
          <w:p>
            <w:r>
              <w:rPr>
                <w:sz w:val="16"/>
              </w:rPr>
              <w:t>Isolates high-burden urban riverine/coastal barangay clusters</w:t>
            </w:r>
          </w:p>
        </w:tc>
      </w:tr>
      <w:tr>
        <w:tc>
          <w:tcPr>
            <w:tcW w:type="dxa" w:w="1584"/>
            <w:shd w:fill="F8FAFC"/>
            <w:tcMar>
              <w:top w:w="80" w:type="dxa"/>
              <w:bottom w:w="80" w:type="dxa"/>
              <w:left w:w="80" w:type="dxa"/>
              <w:right w:w="80" w:type="dxa"/>
            </w:tcMar>
          </w:tcPr>
          <w:p>
            <w:r>
              <w:rPr>
                <w:b/>
                <w:sz w:val="16"/>
              </w:rPr>
              <w:t>Q3 (Climate Lags)</w:t>
            </w:r>
          </w:p>
        </w:tc>
        <w:tc>
          <w:tcPr>
            <w:tcW w:type="dxa" w:w="1296"/>
            <w:shd w:fill="F8FAFC"/>
            <w:tcMar>
              <w:top w:w="80" w:type="dxa"/>
              <w:bottom w:w="80" w:type="dxa"/>
              <w:left w:w="80" w:type="dxa"/>
              <w:right w:w="80" w:type="dxa"/>
            </w:tcMar>
          </w:tcPr>
          <w:p>
            <w:r>
              <w:rPr>
                <w:b/>
                <w:color w:val="0E4194"/>
                <w:sz w:val="16"/>
              </w:rPr>
              <w:t>Diagnostic</w:t>
            </w:r>
          </w:p>
        </w:tc>
        <w:tc>
          <w:tcPr>
            <w:tcW w:type="dxa" w:w="2592"/>
            <w:shd w:fill="F8FAFC"/>
            <w:tcMar>
              <w:top w:w="80" w:type="dxa"/>
              <w:bottom w:w="80" w:type="dxa"/>
              <w:left w:w="80" w:type="dxa"/>
              <w:right w:w="80" w:type="dxa"/>
            </w:tcMar>
          </w:tcPr>
          <w:p>
            <w:r>
              <w:rPr>
                <w:sz w:val="16"/>
              </w:rPr>
              <w:t>Distributed Lag Non-linear Models (DLNM), Cross-Correlation</w:t>
            </w:r>
          </w:p>
        </w:tc>
        <w:tc>
          <w:tcPr>
            <w:tcW w:type="dxa" w:w="1728"/>
            <w:shd w:fill="F8FAFC"/>
            <w:tcMar>
              <w:top w:w="80" w:type="dxa"/>
              <w:bottom w:w="80" w:type="dxa"/>
              <w:left w:w="80" w:type="dxa"/>
              <w:right w:w="80" w:type="dxa"/>
            </w:tcMar>
          </w:tcPr>
          <w:p>
            <w:r>
              <w:rPr>
                <w:sz w:val="16"/>
              </w:rPr>
              <w:t>scipy.stats, statsmodels</w:t>
            </w:r>
          </w:p>
        </w:tc>
        <w:tc>
          <w:tcPr>
            <w:tcW w:type="dxa" w:w="2304"/>
            <w:shd w:fill="F8FAFC"/>
            <w:tcMar>
              <w:top w:w="80" w:type="dxa"/>
              <w:bottom w:w="80" w:type="dxa"/>
              <w:left w:w="80" w:type="dxa"/>
              <w:right w:w="80" w:type="dxa"/>
            </w:tcMar>
          </w:tcPr>
          <w:p>
            <w:r>
              <w:rPr>
                <w:sz w:val="16"/>
              </w:rPr>
              <w:t>Quantifies 60-to-90 day incubation delay post-heat anomalies</w:t>
            </w:r>
          </w:p>
        </w:tc>
      </w:tr>
      <w:tr>
        <w:tc>
          <w:tcPr>
            <w:tcW w:type="dxa" w:w="1584"/>
            <w:shd w:fill="FFFFFF"/>
            <w:tcMar>
              <w:top w:w="80" w:type="dxa"/>
              <w:bottom w:w="80" w:type="dxa"/>
              <w:left w:w="80" w:type="dxa"/>
              <w:right w:w="80" w:type="dxa"/>
            </w:tcMar>
          </w:tcPr>
          <w:p>
            <w:r>
              <w:rPr>
                <w:b/>
                <w:sz w:val="16"/>
              </w:rPr>
              <w:t>Q4 (Structural Drivers)</w:t>
            </w:r>
          </w:p>
        </w:tc>
        <w:tc>
          <w:tcPr>
            <w:tcW w:type="dxa" w:w="1296"/>
            <w:shd w:fill="FFFFFF"/>
            <w:tcMar>
              <w:top w:w="80" w:type="dxa"/>
              <w:bottom w:w="80" w:type="dxa"/>
              <w:left w:w="80" w:type="dxa"/>
              <w:right w:w="80" w:type="dxa"/>
            </w:tcMar>
          </w:tcPr>
          <w:p>
            <w:r>
              <w:rPr>
                <w:b/>
                <w:color w:val="0E4194"/>
                <w:sz w:val="16"/>
              </w:rPr>
              <w:t>Diagnostic</w:t>
            </w:r>
          </w:p>
        </w:tc>
        <w:tc>
          <w:tcPr>
            <w:tcW w:type="dxa" w:w="2592"/>
            <w:shd w:fill="FFFFFF"/>
            <w:tcMar>
              <w:top w:w="80" w:type="dxa"/>
              <w:bottom w:w="80" w:type="dxa"/>
              <w:left w:w="80" w:type="dxa"/>
              <w:right w:w="80" w:type="dxa"/>
            </w:tcMar>
          </w:tcPr>
          <w:p>
            <w:r>
              <w:rPr>
                <w:sz w:val="16"/>
              </w:rPr>
              <w:t>Feature Importance, Partial Dependence (PDP), Multivariate Reg.</w:t>
            </w:r>
          </w:p>
        </w:tc>
        <w:tc>
          <w:tcPr>
            <w:tcW w:type="dxa" w:w="1728"/>
            <w:shd w:fill="FFFFFF"/>
            <w:tcMar>
              <w:top w:w="80" w:type="dxa"/>
              <w:bottom w:w="80" w:type="dxa"/>
              <w:left w:w="80" w:type="dxa"/>
              <w:right w:w="80" w:type="dxa"/>
            </w:tcMar>
          </w:tcPr>
          <w:p>
            <w:r>
              <w:rPr>
                <w:sz w:val="16"/>
              </w:rPr>
              <w:t>scikit-learn, shap</w:t>
            </w:r>
          </w:p>
        </w:tc>
        <w:tc>
          <w:tcPr>
            <w:tcW w:type="dxa" w:w="2304"/>
            <w:shd w:fill="FFFFFF"/>
            <w:tcMar>
              <w:top w:w="80" w:type="dxa"/>
              <w:bottom w:w="80" w:type="dxa"/>
              <w:left w:w="80" w:type="dxa"/>
              <w:right w:w="80" w:type="dxa"/>
            </w:tcMar>
          </w:tcPr>
          <w:p>
            <w:r>
              <w:rPr>
                <w:sz w:val="16"/>
              </w:rPr>
              <w:t>Quantifies building density (google_bldgs) interaction with pop.</w:t>
            </w:r>
          </w:p>
        </w:tc>
      </w:tr>
      <w:tr>
        <w:tc>
          <w:tcPr>
            <w:tcW w:type="dxa" w:w="1584"/>
            <w:shd w:fill="F8FAFC"/>
            <w:tcMar>
              <w:top w:w="80" w:type="dxa"/>
              <w:bottom w:w="80" w:type="dxa"/>
              <w:left w:w="80" w:type="dxa"/>
              <w:right w:w="80" w:type="dxa"/>
            </w:tcMar>
          </w:tcPr>
          <w:p>
            <w:r>
              <w:rPr>
                <w:b/>
                <w:sz w:val="16"/>
              </w:rPr>
              <w:t>Q5 (Caseload Forecast)</w:t>
            </w:r>
          </w:p>
        </w:tc>
        <w:tc>
          <w:tcPr>
            <w:tcW w:type="dxa" w:w="1296"/>
            <w:shd w:fill="F8FAFC"/>
            <w:tcMar>
              <w:top w:w="80" w:type="dxa"/>
              <w:bottom w:w="80" w:type="dxa"/>
              <w:left w:w="80" w:type="dxa"/>
              <w:right w:w="80" w:type="dxa"/>
            </w:tcMar>
          </w:tcPr>
          <w:p>
            <w:r>
              <w:rPr>
                <w:b/>
                <w:color w:val="0E4194"/>
                <w:sz w:val="16"/>
              </w:rPr>
              <w:t>Predictive</w:t>
            </w:r>
          </w:p>
        </w:tc>
        <w:tc>
          <w:tcPr>
            <w:tcW w:type="dxa" w:w="2592"/>
            <w:shd w:fill="F8FAFC"/>
            <w:tcMar>
              <w:top w:w="80" w:type="dxa"/>
              <w:bottom w:w="80" w:type="dxa"/>
              <w:left w:w="80" w:type="dxa"/>
              <w:right w:w="80" w:type="dxa"/>
            </w:tcMar>
          </w:tcPr>
          <w:p>
            <w:r>
              <w:rPr>
                <w:sz w:val="16"/>
              </w:rPr>
              <w:t>Supervised Regression: Random Forest Regressor &amp; LightGBM</w:t>
            </w:r>
          </w:p>
        </w:tc>
        <w:tc>
          <w:tcPr>
            <w:tcW w:type="dxa" w:w="1728"/>
            <w:shd w:fill="F8FAFC"/>
            <w:tcMar>
              <w:top w:w="80" w:type="dxa"/>
              <w:bottom w:w="80" w:type="dxa"/>
              <w:left w:w="80" w:type="dxa"/>
              <w:right w:w="80" w:type="dxa"/>
            </w:tcMar>
          </w:tcPr>
          <w:p>
            <w:r>
              <w:rPr>
                <w:sz w:val="16"/>
              </w:rPr>
              <w:t>scikit-learn, lightgbm</w:t>
            </w:r>
          </w:p>
        </w:tc>
        <w:tc>
          <w:tcPr>
            <w:tcW w:type="dxa" w:w="2304"/>
            <w:shd w:fill="F8FAFC"/>
            <w:tcMar>
              <w:top w:w="80" w:type="dxa"/>
              <w:bottom w:w="80" w:type="dxa"/>
              <w:left w:w="80" w:type="dxa"/>
              <w:right w:w="80" w:type="dxa"/>
            </w:tcMar>
          </w:tcPr>
          <w:p>
            <w:r>
              <w:rPr>
                <w:sz w:val="16"/>
              </w:rPr>
              <w:t>Evaluated via RMSE &amp; MAE across out-of-time test partitions</w:t>
            </w:r>
          </w:p>
        </w:tc>
      </w:tr>
      <w:tr>
        <w:tc>
          <w:tcPr>
            <w:tcW w:type="dxa" w:w="1584"/>
            <w:shd w:fill="FFFFFF"/>
            <w:tcMar>
              <w:top w:w="80" w:type="dxa"/>
              <w:bottom w:w="80" w:type="dxa"/>
              <w:left w:w="80" w:type="dxa"/>
              <w:right w:w="80" w:type="dxa"/>
            </w:tcMar>
          </w:tcPr>
          <w:p>
            <w:r>
              <w:rPr>
                <w:b/>
                <w:sz w:val="16"/>
              </w:rPr>
              <w:t>Q6 (Outbreak Classif.)</w:t>
            </w:r>
          </w:p>
        </w:tc>
        <w:tc>
          <w:tcPr>
            <w:tcW w:type="dxa" w:w="1296"/>
            <w:shd w:fill="FFFFFF"/>
            <w:tcMar>
              <w:top w:w="80" w:type="dxa"/>
              <w:bottom w:w="80" w:type="dxa"/>
              <w:left w:w="80" w:type="dxa"/>
              <w:right w:w="80" w:type="dxa"/>
            </w:tcMar>
          </w:tcPr>
          <w:p>
            <w:r>
              <w:rPr>
                <w:b/>
                <w:color w:val="0E4194"/>
                <w:sz w:val="16"/>
              </w:rPr>
              <w:t>Predictive</w:t>
            </w:r>
          </w:p>
        </w:tc>
        <w:tc>
          <w:tcPr>
            <w:tcW w:type="dxa" w:w="2592"/>
            <w:shd w:fill="FFFFFF"/>
            <w:tcMar>
              <w:top w:w="80" w:type="dxa"/>
              <w:bottom w:w="80" w:type="dxa"/>
              <w:left w:w="80" w:type="dxa"/>
              <w:right w:w="80" w:type="dxa"/>
            </w:tcMar>
          </w:tcPr>
          <w:p>
            <w:r>
              <w:rPr>
                <w:sz w:val="16"/>
              </w:rPr>
              <w:t>Supervised Classification: Random Forest (Out-of-Time CV)</w:t>
            </w:r>
          </w:p>
        </w:tc>
        <w:tc>
          <w:tcPr>
            <w:tcW w:type="dxa" w:w="1728"/>
            <w:shd w:fill="FFFFFF"/>
            <w:tcMar>
              <w:top w:w="80" w:type="dxa"/>
              <w:bottom w:w="80" w:type="dxa"/>
              <w:left w:w="80" w:type="dxa"/>
              <w:right w:w="80" w:type="dxa"/>
            </w:tcMar>
          </w:tcPr>
          <w:p>
            <w:r>
              <w:rPr>
                <w:sz w:val="16"/>
              </w:rPr>
              <w:t>scikit-learn, xgboost</w:t>
            </w:r>
          </w:p>
        </w:tc>
        <w:tc>
          <w:tcPr>
            <w:tcW w:type="dxa" w:w="2304"/>
            <w:shd w:fill="FFFFFF"/>
            <w:tcMar>
              <w:top w:w="80" w:type="dxa"/>
              <w:bottom w:w="80" w:type="dxa"/>
              <w:left w:w="80" w:type="dxa"/>
              <w:right w:w="80" w:type="dxa"/>
            </w:tcMar>
          </w:tcPr>
          <w:p>
            <w:r>
              <w:rPr>
                <w:sz w:val="16"/>
              </w:rPr>
              <w:t>Empirical: ROC-AUC=0.903, Accuracy=87.0%, Recall=72.0%</w:t>
            </w:r>
          </w:p>
        </w:tc>
      </w:tr>
      <w:tr>
        <w:tc>
          <w:tcPr>
            <w:tcW w:type="dxa" w:w="1584"/>
            <w:shd w:fill="F8FAFC"/>
            <w:tcMar>
              <w:top w:w="80" w:type="dxa"/>
              <w:bottom w:w="80" w:type="dxa"/>
              <w:left w:w="80" w:type="dxa"/>
              <w:right w:w="80" w:type="dxa"/>
            </w:tcMar>
          </w:tcPr>
          <w:p>
            <w:r>
              <w:rPr>
                <w:b/>
                <w:sz w:val="16"/>
              </w:rPr>
              <w:t>Q7 (Vector Schedule)</w:t>
            </w:r>
          </w:p>
        </w:tc>
        <w:tc>
          <w:tcPr>
            <w:tcW w:type="dxa" w:w="1296"/>
            <w:shd w:fill="F8FAFC"/>
            <w:tcMar>
              <w:top w:w="80" w:type="dxa"/>
              <w:bottom w:w="80" w:type="dxa"/>
              <w:left w:w="80" w:type="dxa"/>
              <w:right w:w="80" w:type="dxa"/>
            </w:tcMar>
          </w:tcPr>
          <w:p>
            <w:r>
              <w:rPr>
                <w:b/>
                <w:color w:val="0E4194"/>
                <w:sz w:val="16"/>
              </w:rPr>
              <w:t>Prescriptive</w:t>
            </w:r>
          </w:p>
        </w:tc>
        <w:tc>
          <w:tcPr>
            <w:tcW w:type="dxa" w:w="2592"/>
            <w:shd w:fill="F8FAFC"/>
            <w:tcMar>
              <w:top w:w="80" w:type="dxa"/>
              <w:bottom w:w="80" w:type="dxa"/>
              <w:left w:w="80" w:type="dxa"/>
              <w:right w:w="80" w:type="dxa"/>
            </w:tcMar>
          </w:tcPr>
          <w:p>
            <w:r>
              <w:rPr>
                <w:sz w:val="16"/>
              </w:rPr>
              <w:t>Multi-Criteria Decision (TOPSIS), Linear Integer Programming</w:t>
            </w:r>
          </w:p>
        </w:tc>
        <w:tc>
          <w:tcPr>
            <w:tcW w:type="dxa" w:w="1728"/>
            <w:shd w:fill="F8FAFC"/>
            <w:tcMar>
              <w:top w:w="80" w:type="dxa"/>
              <w:bottom w:w="80" w:type="dxa"/>
              <w:left w:w="80" w:type="dxa"/>
              <w:right w:w="80" w:type="dxa"/>
            </w:tcMar>
          </w:tcPr>
          <w:p>
            <w:r>
              <w:rPr>
                <w:sz w:val="16"/>
              </w:rPr>
              <w:t>scipy.optimize, pulp</w:t>
            </w:r>
          </w:p>
        </w:tc>
        <w:tc>
          <w:tcPr>
            <w:tcW w:type="dxa" w:w="2304"/>
            <w:shd w:fill="F8FAFC"/>
            <w:tcMar>
              <w:top w:w="80" w:type="dxa"/>
              <w:bottom w:w="80" w:type="dxa"/>
              <w:left w:w="80" w:type="dxa"/>
              <w:right w:w="80" w:type="dxa"/>
            </w:tcMar>
          </w:tcPr>
          <w:p>
            <w:r>
              <w:rPr>
                <w:sz w:val="16"/>
              </w:rPr>
              <w:t>Maximizes population coverage under budget &amp; pesticide constraints</w:t>
            </w:r>
          </w:p>
        </w:tc>
      </w:tr>
      <w:tr>
        <w:tc>
          <w:tcPr>
            <w:tcW w:type="dxa" w:w="1584"/>
            <w:shd w:fill="FFFFFF"/>
            <w:tcMar>
              <w:top w:w="80" w:type="dxa"/>
              <w:bottom w:w="80" w:type="dxa"/>
              <w:left w:w="80" w:type="dxa"/>
              <w:right w:w="80" w:type="dxa"/>
            </w:tcMar>
          </w:tcPr>
          <w:p>
            <w:r>
              <w:rPr>
                <w:b/>
                <w:sz w:val="16"/>
              </w:rPr>
              <w:t>Q8 (Clinical Prep)</w:t>
            </w:r>
          </w:p>
        </w:tc>
        <w:tc>
          <w:tcPr>
            <w:tcW w:type="dxa" w:w="1296"/>
            <w:shd w:fill="FFFFFF"/>
            <w:tcMar>
              <w:top w:w="80" w:type="dxa"/>
              <w:bottom w:w="80" w:type="dxa"/>
              <w:left w:w="80" w:type="dxa"/>
              <w:right w:w="80" w:type="dxa"/>
            </w:tcMar>
          </w:tcPr>
          <w:p>
            <w:r>
              <w:rPr>
                <w:b/>
                <w:color w:val="0E4194"/>
                <w:sz w:val="16"/>
              </w:rPr>
              <w:t>Prescriptive</w:t>
            </w:r>
          </w:p>
        </w:tc>
        <w:tc>
          <w:tcPr>
            <w:tcW w:type="dxa" w:w="2592"/>
            <w:shd w:fill="FFFFFF"/>
            <w:tcMar>
              <w:top w:w="80" w:type="dxa"/>
              <w:bottom w:w="80" w:type="dxa"/>
              <w:left w:w="80" w:type="dxa"/>
              <w:right w:w="80" w:type="dxa"/>
            </w:tcMar>
          </w:tcPr>
          <w:p>
            <w:r>
              <w:rPr>
                <w:sz w:val="16"/>
              </w:rPr>
              <w:t>Priority Queueing Simulation, 3-Tier LGU Decision Matrix</w:t>
            </w:r>
          </w:p>
        </w:tc>
        <w:tc>
          <w:tcPr>
            <w:tcW w:type="dxa" w:w="1728"/>
            <w:shd w:fill="FFFFFF"/>
            <w:tcMar>
              <w:top w:w="80" w:type="dxa"/>
              <w:bottom w:w="80" w:type="dxa"/>
              <w:left w:w="80" w:type="dxa"/>
              <w:right w:w="80" w:type="dxa"/>
            </w:tcMar>
          </w:tcPr>
          <w:p>
            <w:r>
              <w:rPr>
                <w:sz w:val="16"/>
              </w:rPr>
              <w:t>simpy, pandas</w:t>
            </w:r>
          </w:p>
        </w:tc>
        <w:tc>
          <w:tcPr>
            <w:tcW w:type="dxa" w:w="2304"/>
            <w:shd w:fill="FFFFFF"/>
            <w:tcMar>
              <w:top w:w="80" w:type="dxa"/>
              <w:bottom w:w="80" w:type="dxa"/>
              <w:left w:w="80" w:type="dxa"/>
              <w:right w:w="80" w:type="dxa"/>
            </w:tcMar>
          </w:tcPr>
          <w:p>
            <w:r>
              <w:rPr>
                <w:sz w:val="16"/>
              </w:rPr>
              <w:t>Eliminates medical supply stockouts &amp; ER congestion pre-surge</w:t>
            </w:r>
          </w:p>
        </w:tc>
      </w:tr>
    </w:tbl>
    <w:p>
      <w:pPr>
        <w:spacing w:before="280" w:after="80"/>
      </w:pPr>
      <w:r>
        <w:rPr>
          <w:b/>
          <w:color w:val="0E4194"/>
          <w:sz w:val="26"/>
        </w:rPr>
        <w:t>5. Empirical Validation &amp; Decision Framework (Defense Guide)</w:t>
      </w:r>
    </w:p>
    <w:p>
      <w:pPr>
        <w:spacing w:after="240"/>
      </w:pPr>
      <w:r>
        <w:rPr>
          <w:b/>
          <w:sz w:val="20"/>
        </w:rPr>
        <w:t>A. Validated Model Metrics (Evaluated on Unseen 2019–2022 Data):</w:t>
        <w:br/>
      </w:r>
      <w:r>
        <w:t>• ROC-AUC Score: 0.903 (Outstanding discrimination between normal and epidemic months)</w:t>
        <w:br/>
      </w:r>
      <w:r>
        <w:t>• Classification Accuracy: 87.0% (3,340 / 3,840 test months predicted correctly)</w:t>
        <w:br/>
      </w:r>
      <w:r>
        <w:t>• Outbreak Sensitivity / Recall: 72.0% (Successfully identifies 7 out of 10 surges 1–2 months early)</w:t>
        <w:br/>
        <w:br/>
      </w:r>
      <w:r>
        <w:rPr>
          <w:b/>
          <w:sz w:val="20"/>
        </w:rPr>
        <w:t>B. Top 5 Most Predictive Climate-Health Indicators (Gini Importance):</w:t>
        <w:br/>
      </w:r>
      <w:r>
        <w:t>1. pop_density_mean (35.05%): Human host concentration enables rapid vector-to-host transmission.</w:t>
        <w:br/>
      </w:r>
      <w:r>
        <w:t>2. google_bldgs_pct_built_up_area (14.92%): Impervious urban surface creates artificial breeding containers.</w:t>
        <w:br/>
      </w:r>
      <w:r>
        <w:t>3. heat_index_mean_lag_3m (9.39%): 3-month heat stress speeds viral incubation (EIP) inside vectors.</w:t>
        <w:br/>
      </w:r>
      <w:r>
        <w:t>4. heat_index_mean_lag_2m (6.93%): 2-month ambient heat elevation accelerates larval hatching rates.</w:t>
        <w:br/>
      </w:r>
      <w:r>
        <w:t>5. tave_mean_lag_1m (5.72%): 1-month temperature elevations increase mosquito biting frequency.</w:t>
        <w:br/>
        <w:br/>
      </w:r>
      <w:r>
        <w:rPr>
          <w:b/>
          <w:sz w:val="20"/>
        </w:rPr>
        <w:t>C. LGU 3-Tier Prescriptive Decision Protocol:</w:t>
        <w:br/>
      </w:r>
      <w:r>
        <w:t>• Level 1 (P &lt; 0.30 - Normal): Routine 4S health education, regular gutter unclogging.</w:t>
        <w:br/>
      </w:r>
      <w:r>
        <w:t>• Level 2 (0.30 ≤ P &lt; 0.65 - Alert): Targeted BTI biological larviciding, stock NS1/IgM rapid diagnostic kits.</w:t>
        <w:br/>
      </w:r>
      <w:r>
        <w:t>• Level 3 (P ≥ 0.65 - Outbreak Warning): Focused spatial ultra-low volume (ULV) fogging, emergency hydration triage activation.</w:t>
      </w:r>
    </w:p>
    <w:tbl>
      <w:tblPr>
        <w:tblW w:type="auto" w:w="0"/>
        <w:jc w:val="center"/>
        <w:tblLook w:firstColumn="1" w:firstRow="1" w:lastColumn="0" w:lastRow="0" w:noHBand="0" w:noVBand="1" w:val="04A0"/>
      </w:tblPr>
      <w:tblGrid>
        <w:gridCol w:w="9936"/>
      </w:tblGrid>
      <w:tr>
        <w:tc>
          <w:tcPr>
            <w:tcW w:type="dxa" w:w="9504"/>
            <w:shd w:fill="FEF3C7"/>
            <w:tcMar>
              <w:top w:w="100" w:type="dxa"/>
              <w:bottom w:w="100" w:type="dxa"/>
              <w:left w:w="120" w:type="dxa"/>
              <w:right w:w="120" w:type="dxa"/>
            </w:tcMar>
          </w:tcPr>
          <w:p>
            <w:r>
              <w:rPr>
                <w:b/>
                <w:color w:val="92400E"/>
                <w:sz w:val="19"/>
              </w:rPr>
              <w:t xml:space="preserve">Deliverable Submission Naming Note: </w:t>
            </w:r>
            <w:r>
              <w:rPr>
                <w:color w:val="92400E"/>
                <w:sz w:val="19"/>
              </w:rPr>
              <w:t>For the group portal submission (https://tinyurl.com/DMAPORTAL), submit this file under the exact label: LAB 1 - ANALYTICAL REPORT.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