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Arial" w:hAnsi="Arial"/>
          <w:b/>
          <w:color w:val="1A365D"/>
          <w:sz w:val="40"/>
        </w:rPr>
        <w:t>TinginHB — Competitive Landscape &amp; Market Benchmark</w:t>
      </w:r>
    </w:p>
    <w:p>
      <w:pPr>
        <w:spacing w:before="0" w:after="280"/>
      </w:pPr>
      <w:r>
        <w:rPr>
          <w:rFonts w:ascii="Palatino Linotype" w:hAnsi="Palatino Linotype"/>
          <w:i/>
          <w:color w:val="718096"/>
          <w:sz w:val="22"/>
        </w:rPr>
        <w:t>Strategic Market Benchmarking &amp; Technical Evaluation for Philippine Startup Challenge XI (PSC XI)</w:t>
      </w:r>
    </w:p>
    <w:tbl>
      <w:tblPr>
        <w:tblW w:type="auto" w:w="0"/>
        <w:jc w:val="center"/>
        <w:tblLayout w:type="fixed"/>
        <w:tblLook w:firstColumn="1" w:firstRow="1" w:lastColumn="0" w:lastRow="0" w:noHBand="0" w:noVBand="1" w:val="04A0"/>
      </w:tblPr>
      <w:tblGrid>
        <w:gridCol w:w="9029"/>
      </w:tblGrid>
      <w:tr>
        <w:tc>
          <w:tcPr>
            <w:tcW w:type="dxa" w:w="9029"/>
            <w:shd w:fill="EDF2F7"/>
            <w:tcMar>
              <w:top w:w="140" w:type="dxa"/>
              <w:bottom w:w="140" w:type="dxa"/>
              <w:left w:w="180" w:type="dxa"/>
              <w:right w:w="180" w:type="dxa"/>
            </w:tcMar>
          </w:tcPr>
          <w:p>
            <w:pPr>
              <w:spacing w:before="0" w:after="0" w:line="260" w:lineRule="exact"/>
            </w:pPr>
            <w:r>
              <w:rPr>
                <w:rFonts w:ascii="Arial" w:hAnsi="Arial"/>
                <w:b/>
                <w:color w:val="1A365D"/>
                <w:sz w:val="19"/>
              </w:rPr>
              <w:t xml:space="preserve">EXECUTIVE SUMMARY: </w:t>
            </w:r>
            <w:r>
              <w:rPr>
                <w:rFonts w:ascii="Palatino Linotype" w:hAnsi="Palatino Linotype"/>
                <w:color w:val="2D3748"/>
                <w:sz w:val="19"/>
              </w:rPr>
              <w:t>Anemia affects over 1.62 billion people worldwide. In the Philippines, DOST-FNRI reports severe prevalence among pregnant women (24.6%) and infants (39.4%). Standard-of-care screening relies almost exclusively on invasive capillary blood sampling (HemoCue, ₱75–₱150/test) or centralized laboratory CBCs. While prior digital health startups attempted smartphone-only hemoglobin estimation, nearly all stalled due to melanin bias, ambient lighting dependency, single-site failure, or invasive consumable costs. TinginHB solves these bottlenecks through dual-site cross-referenced anatomical fusion (conjunctiva + nail bed), sclera and periungual self-referencing, and zero-cost, 100% offline edge inference tailored for Filipino skin phototypes (Fitzpatrick III–V).</w:t>
            </w:r>
          </w:p>
        </w:tc>
      </w:tr>
    </w:tbl>
    <w:p>
      <w:pPr>
        <w:spacing w:after="200"/>
      </w:pPr>
    </w:p>
    <w:p>
      <w:pPr>
        <w:spacing w:before="280" w:after="120"/>
      </w:pPr>
      <w:r>
        <w:rPr>
          <w:rFonts w:ascii="Arial" w:hAnsi="Arial"/>
          <w:b/>
          <w:color w:val="1A365D"/>
          <w:sz w:val="26"/>
        </w:rPr>
        <w:t>1. Head-to-Head Comparison Matrix</w:t>
      </w:r>
    </w:p>
    <w:tbl>
      <w:tblPr>
        <w:tblW w:type="auto" w:w="0"/>
        <w:jc w:val="center"/>
        <w:tblLayout w:type="fixed"/>
        <w:tblLook w:firstColumn="1" w:firstRow="1" w:lastColumn="0" w:lastRow="0" w:noHBand="0" w:noVBand="1" w:val="04A0"/>
      </w:tblPr>
      <w:tblGrid>
        <w:gridCol w:w="1505"/>
        <w:gridCol w:w="1505"/>
        <w:gridCol w:w="1505"/>
        <w:gridCol w:w="1505"/>
        <w:gridCol w:w="1505"/>
        <w:gridCol w:w="1505"/>
      </w:tblGrid>
      <w:tr>
        <w:tc>
          <w:tcPr>
            <w:tcW w:type="dxa" w:w="1728"/>
            <w:shd w:fill="1A365D"/>
            <w:tcMar>
              <w:top w:w="100" w:type="dxa"/>
              <w:bottom w:w="100" w:type="dxa"/>
              <w:left w:w="80" w:type="dxa"/>
              <w:right w:w="80" w:type="dxa"/>
            </w:tcMar>
          </w:tcPr>
          <w:p>
            <w:pPr>
              <w:spacing w:before="0" w:after="0"/>
              <w:jc w:val="center"/>
            </w:pPr>
            <w:r>
              <w:rPr>
                <w:rFonts w:ascii="Arial" w:hAnsi="Arial"/>
                <w:b/>
                <w:color w:val="FFFFFF"/>
                <w:sz w:val="17"/>
              </w:rPr>
              <w:t>Solution / Product</w:t>
            </w:r>
          </w:p>
        </w:tc>
        <w:tc>
          <w:tcPr>
            <w:tcW w:type="dxa" w:w="1584"/>
            <w:shd w:fill="1A365D"/>
            <w:tcMar>
              <w:top w:w="100" w:type="dxa"/>
              <w:bottom w:w="100" w:type="dxa"/>
              <w:left w:w="80" w:type="dxa"/>
              <w:right w:w="80" w:type="dxa"/>
            </w:tcMar>
          </w:tcPr>
          <w:p>
            <w:pPr>
              <w:spacing w:before="0" w:after="0"/>
              <w:jc w:val="center"/>
            </w:pPr>
            <w:r>
              <w:rPr>
                <w:rFonts w:ascii="Arial" w:hAnsi="Arial"/>
                <w:b/>
                <w:color w:val="FFFFFF"/>
                <w:sz w:val="17"/>
              </w:rPr>
              <w:t>Modality</w:t>
            </w:r>
          </w:p>
        </w:tc>
        <w:tc>
          <w:tcPr>
            <w:tcW w:type="dxa" w:w="1296"/>
            <w:shd w:fill="1A365D"/>
            <w:tcMar>
              <w:top w:w="100" w:type="dxa"/>
              <w:bottom w:w="100" w:type="dxa"/>
              <w:left w:w="80" w:type="dxa"/>
              <w:right w:w="80" w:type="dxa"/>
            </w:tcMar>
          </w:tcPr>
          <w:p>
            <w:pPr>
              <w:spacing w:before="0" w:after="0"/>
              <w:jc w:val="center"/>
            </w:pPr>
            <w:r>
              <w:rPr>
                <w:rFonts w:ascii="Arial" w:hAnsi="Arial"/>
                <w:b/>
                <w:color w:val="FFFFFF"/>
                <w:sz w:val="17"/>
              </w:rPr>
              <w:t>Platform</w:t>
            </w:r>
          </w:p>
        </w:tc>
        <w:tc>
          <w:tcPr>
            <w:tcW w:type="dxa" w:w="1152"/>
            <w:shd w:fill="1A365D"/>
            <w:tcMar>
              <w:top w:w="100" w:type="dxa"/>
              <w:bottom w:w="100" w:type="dxa"/>
              <w:left w:w="80" w:type="dxa"/>
              <w:right w:w="80" w:type="dxa"/>
            </w:tcMar>
          </w:tcPr>
          <w:p>
            <w:pPr>
              <w:spacing w:before="0" w:after="0"/>
              <w:jc w:val="center"/>
            </w:pPr>
            <w:r>
              <w:rPr>
                <w:rFonts w:ascii="Arial" w:hAnsi="Arial"/>
                <w:b/>
                <w:color w:val="FFFFFF"/>
                <w:sz w:val="17"/>
              </w:rPr>
              <w:t>Cost / Test</w:t>
            </w:r>
          </w:p>
        </w:tc>
        <w:tc>
          <w:tcPr>
            <w:tcW w:type="dxa" w:w="1440"/>
            <w:shd w:fill="1A365D"/>
            <w:tcMar>
              <w:top w:w="100" w:type="dxa"/>
              <w:bottom w:w="100" w:type="dxa"/>
              <w:left w:w="80" w:type="dxa"/>
              <w:right w:w="80" w:type="dxa"/>
            </w:tcMar>
          </w:tcPr>
          <w:p>
            <w:pPr>
              <w:spacing w:before="0" w:after="0"/>
              <w:jc w:val="center"/>
            </w:pPr>
            <w:r>
              <w:rPr>
                <w:rFonts w:ascii="Arial" w:hAnsi="Arial"/>
                <w:b/>
                <w:color w:val="FFFFFF"/>
                <w:sz w:val="17"/>
              </w:rPr>
              <w:t>Regulatory Status</w:t>
            </w:r>
          </w:p>
        </w:tc>
        <w:tc>
          <w:tcPr>
            <w:tcW w:type="dxa" w:w="1829"/>
            <w:shd w:fill="1A365D"/>
            <w:tcMar>
              <w:top w:w="100" w:type="dxa"/>
              <w:bottom w:w="100" w:type="dxa"/>
              <w:left w:w="80" w:type="dxa"/>
              <w:right w:w="80" w:type="dxa"/>
            </w:tcMar>
          </w:tcPr>
          <w:p>
            <w:pPr>
              <w:spacing w:before="0" w:after="0"/>
              <w:jc w:val="center"/>
            </w:pPr>
            <w:r>
              <w:rPr>
                <w:rFonts w:ascii="Arial" w:hAnsi="Arial"/>
                <w:b/>
                <w:color w:val="FFFFFF"/>
                <w:sz w:val="17"/>
              </w:rPr>
              <w:t>Primary Bottleneck</w:t>
            </w:r>
          </w:p>
        </w:tc>
      </w:tr>
      <w:tr>
        <w:tc>
          <w:tcPr>
            <w:tcW w:type="dxa" w:w="1728"/>
            <w:shd w:fill="F7FAFC"/>
            <w:tcMar>
              <w:top w:w="70" w:type="dxa"/>
              <w:bottom w:w="70" w:type="dxa"/>
              <w:left w:w="70" w:type="dxa"/>
              <w:right w:w="70" w:type="dxa"/>
            </w:tcMar>
          </w:tcPr>
          <w:p>
            <w:pPr>
              <w:spacing w:before="0" w:after="0" w:line="200" w:lineRule="exact"/>
              <w:jc w:val="left"/>
            </w:pPr>
            <w:r>
              <w:rPr>
                <w:rFonts w:ascii="Palatino Linotype" w:hAnsi="Palatino Linotype"/>
                <w:color w:val="2D3748"/>
                <w:sz w:val="16"/>
              </w:rPr>
              <w:t>Ruby (Sanguina)</w:t>
            </w:r>
          </w:p>
        </w:tc>
        <w:tc>
          <w:tcPr>
            <w:tcW w:type="dxa" w:w="1584"/>
            <w:shd w:fill="F7FAFC"/>
            <w:tcMar>
              <w:top w:w="70" w:type="dxa"/>
              <w:bottom w:w="70" w:type="dxa"/>
              <w:left w:w="70" w:type="dxa"/>
              <w:right w:w="70" w:type="dxa"/>
            </w:tcMar>
          </w:tcPr>
          <w:p>
            <w:pPr>
              <w:spacing w:before="0" w:after="0" w:line="200" w:lineRule="exact"/>
              <w:jc w:val="left"/>
            </w:pPr>
            <w:r>
              <w:rPr>
                <w:rFonts w:ascii="Palatino Linotype" w:hAnsi="Palatino Linotype"/>
                <w:color w:val="2D3748"/>
                <w:sz w:val="16"/>
              </w:rPr>
              <w:t>Fingernail bed</w:t>
            </w:r>
          </w:p>
        </w:tc>
        <w:tc>
          <w:tcPr>
            <w:tcW w:type="dxa" w:w="1296"/>
            <w:shd w:fill="F7FAFC"/>
            <w:tcMar>
              <w:top w:w="70" w:type="dxa"/>
              <w:bottom w:w="70" w:type="dxa"/>
              <w:left w:w="70" w:type="dxa"/>
              <w:right w:w="70" w:type="dxa"/>
            </w:tcMar>
          </w:tcPr>
          <w:p>
            <w:pPr>
              <w:spacing w:before="0" w:after="0" w:line="200" w:lineRule="exact"/>
              <w:jc w:val="left"/>
            </w:pPr>
            <w:r>
              <w:rPr>
                <w:rFonts w:ascii="Palatino Linotype" w:hAnsi="Palatino Linotype"/>
                <w:color w:val="2D3748"/>
                <w:sz w:val="16"/>
              </w:rPr>
              <w:t>iOS / Android</w:t>
            </w:r>
          </w:p>
        </w:tc>
        <w:tc>
          <w:tcPr>
            <w:tcW w:type="dxa" w:w="1152"/>
            <w:shd w:fill="F7FAFC"/>
            <w:tcMar>
              <w:top w:w="70" w:type="dxa"/>
              <w:bottom w:w="70" w:type="dxa"/>
              <w:left w:w="70" w:type="dxa"/>
              <w:right w:w="70" w:type="dxa"/>
            </w:tcMar>
          </w:tcPr>
          <w:p>
            <w:pPr>
              <w:spacing w:before="0" w:after="0" w:line="200" w:lineRule="exact"/>
              <w:jc w:val="left"/>
            </w:pPr>
            <w:r>
              <w:rPr>
                <w:rFonts w:ascii="Palatino Linotype" w:hAnsi="Palatino Linotype"/>
                <w:color w:val="2D3748"/>
                <w:sz w:val="16"/>
              </w:rPr>
              <w:t>$3–$5/mo</w:t>
            </w:r>
          </w:p>
        </w:tc>
        <w:tc>
          <w:tcPr>
            <w:tcW w:type="dxa" w:w="1440"/>
            <w:shd w:fill="F7FAFC"/>
            <w:tcMar>
              <w:top w:w="70" w:type="dxa"/>
              <w:bottom w:w="70" w:type="dxa"/>
              <w:left w:w="70" w:type="dxa"/>
              <w:right w:w="70" w:type="dxa"/>
            </w:tcMar>
          </w:tcPr>
          <w:p>
            <w:pPr>
              <w:spacing w:before="0" w:after="0" w:line="200" w:lineRule="exact"/>
              <w:jc w:val="left"/>
            </w:pPr>
            <w:r>
              <w:rPr>
                <w:rFonts w:ascii="Palatino Linotype" w:hAnsi="Palatino Linotype"/>
                <w:color w:val="2D3748"/>
                <w:sz w:val="16"/>
              </w:rPr>
              <w:t>Wellness only</w:t>
            </w:r>
          </w:p>
        </w:tc>
        <w:tc>
          <w:tcPr>
            <w:tcW w:type="dxa" w:w="1829"/>
            <w:shd w:fill="F7FAFC"/>
            <w:tcMar>
              <w:top w:w="70" w:type="dxa"/>
              <w:bottom w:w="70" w:type="dxa"/>
              <w:left w:w="70" w:type="dxa"/>
              <w:right w:w="70" w:type="dxa"/>
            </w:tcMar>
          </w:tcPr>
          <w:p>
            <w:pPr>
              <w:spacing w:before="0" w:after="0" w:line="200" w:lineRule="exact"/>
              <w:jc w:val="left"/>
            </w:pPr>
            <w:r>
              <w:rPr>
                <w:rFonts w:ascii="Palatino Linotype" w:hAnsi="Palatino Linotype"/>
                <w:color w:val="2D3748"/>
                <w:sz w:val="16"/>
              </w:rPr>
              <w:t>Needs lab blood test to personalize; fails under lighting shifts</w:t>
            </w:r>
          </w:p>
        </w:tc>
      </w:tr>
      <w:tr>
        <w:tc>
          <w:tcPr>
            <w:tcW w:type="dxa" w:w="1728"/>
            <w:shd w:fill="FFFFFF"/>
            <w:tcMar>
              <w:top w:w="70" w:type="dxa"/>
              <w:bottom w:w="70" w:type="dxa"/>
              <w:left w:w="70" w:type="dxa"/>
              <w:right w:w="70" w:type="dxa"/>
            </w:tcMar>
          </w:tcPr>
          <w:p>
            <w:pPr>
              <w:spacing w:before="0" w:after="0" w:line="200" w:lineRule="exact"/>
              <w:jc w:val="left"/>
            </w:pPr>
            <w:r>
              <w:rPr>
                <w:rFonts w:ascii="Palatino Linotype" w:hAnsi="Palatino Linotype"/>
                <w:color w:val="2D3748"/>
                <w:sz w:val="16"/>
              </w:rPr>
              <w:t>HemaChrome</w:t>
            </w:r>
          </w:p>
        </w:tc>
        <w:tc>
          <w:tcPr>
            <w:tcW w:type="dxa" w:w="1584"/>
            <w:shd w:fill="FFFFFF"/>
            <w:tcMar>
              <w:top w:w="70" w:type="dxa"/>
              <w:bottom w:w="70" w:type="dxa"/>
              <w:left w:w="70" w:type="dxa"/>
              <w:right w:w="70" w:type="dxa"/>
            </w:tcMar>
          </w:tcPr>
          <w:p>
            <w:pPr>
              <w:spacing w:before="0" w:after="0" w:line="200" w:lineRule="exact"/>
              <w:jc w:val="left"/>
            </w:pPr>
            <w:r>
              <w:rPr>
                <w:rFonts w:ascii="Palatino Linotype" w:hAnsi="Palatino Linotype"/>
                <w:color w:val="2D3748"/>
                <w:sz w:val="16"/>
              </w:rPr>
              <w:t>Conjunctiva</w:t>
            </w:r>
          </w:p>
        </w:tc>
        <w:tc>
          <w:tcPr>
            <w:tcW w:type="dxa" w:w="1296"/>
            <w:shd w:fill="FFFFFF"/>
            <w:tcMar>
              <w:top w:w="70" w:type="dxa"/>
              <w:bottom w:w="70" w:type="dxa"/>
              <w:left w:w="70" w:type="dxa"/>
              <w:right w:w="70" w:type="dxa"/>
            </w:tcMar>
          </w:tcPr>
          <w:p>
            <w:pPr>
              <w:spacing w:before="0" w:after="0" w:line="200" w:lineRule="exact"/>
              <w:jc w:val="left"/>
            </w:pPr>
            <w:r>
              <w:rPr>
                <w:rFonts w:ascii="Palatino Linotype" w:hAnsi="Palatino Linotype"/>
                <w:color w:val="2D3748"/>
                <w:sz w:val="16"/>
              </w:rPr>
              <w:t>Smartphone app</w:t>
            </w:r>
          </w:p>
        </w:tc>
        <w:tc>
          <w:tcPr>
            <w:tcW w:type="dxa" w:w="1152"/>
            <w:shd w:fill="FFFFFF"/>
            <w:tcMar>
              <w:top w:w="70" w:type="dxa"/>
              <w:bottom w:w="70" w:type="dxa"/>
              <w:left w:w="70" w:type="dxa"/>
              <w:right w:w="70" w:type="dxa"/>
            </w:tcMar>
          </w:tcPr>
          <w:p>
            <w:pPr>
              <w:spacing w:before="0" w:after="0" w:line="200" w:lineRule="exact"/>
              <w:jc w:val="left"/>
            </w:pPr>
            <w:r>
              <w:rPr>
                <w:rFonts w:ascii="Palatino Linotype" w:hAnsi="Palatino Linotype"/>
                <w:color w:val="2D3748"/>
                <w:sz w:val="16"/>
              </w:rPr>
              <w:t>Research</w:t>
            </w:r>
          </w:p>
        </w:tc>
        <w:tc>
          <w:tcPr>
            <w:tcW w:type="dxa" w:w="1440"/>
            <w:shd w:fill="FFFFFF"/>
            <w:tcMar>
              <w:top w:w="70" w:type="dxa"/>
              <w:bottom w:w="70" w:type="dxa"/>
              <w:left w:w="70" w:type="dxa"/>
              <w:right w:w="70" w:type="dxa"/>
            </w:tcMar>
          </w:tcPr>
          <w:p>
            <w:pPr>
              <w:spacing w:before="0" w:after="0" w:line="200" w:lineRule="exact"/>
              <w:jc w:val="left"/>
            </w:pPr>
            <w:r>
              <w:rPr>
                <w:rFonts w:ascii="Palatino Linotype" w:hAnsi="Palatino Linotype"/>
                <w:color w:val="2D3748"/>
                <w:sz w:val="16"/>
              </w:rPr>
              <w:t>Clinical trials</w:t>
            </w:r>
          </w:p>
        </w:tc>
        <w:tc>
          <w:tcPr>
            <w:tcW w:type="dxa" w:w="1829"/>
            <w:shd w:fill="FFFFFF"/>
            <w:tcMar>
              <w:top w:w="70" w:type="dxa"/>
              <w:bottom w:w="70" w:type="dxa"/>
              <w:left w:w="70" w:type="dxa"/>
              <w:right w:w="70" w:type="dxa"/>
            </w:tcMar>
          </w:tcPr>
          <w:p>
            <w:pPr>
              <w:spacing w:before="0" w:after="0" w:line="200" w:lineRule="exact"/>
              <w:jc w:val="left"/>
            </w:pPr>
            <w:r>
              <w:rPr>
                <w:rFonts w:ascii="Palatino Linotype" w:hAnsi="Palatino Linotype"/>
                <w:color w:val="2D3748"/>
                <w:sz w:val="16"/>
              </w:rPr>
              <w:t>Eye-only vulnerability to allergies/jaundice; eyelid eversion hesitance</w:t>
            </w:r>
          </w:p>
        </w:tc>
      </w:tr>
      <w:tr>
        <w:tc>
          <w:tcPr>
            <w:tcW w:type="dxa" w:w="1728"/>
            <w:shd w:fill="F7FAFC"/>
            <w:tcMar>
              <w:top w:w="70" w:type="dxa"/>
              <w:bottom w:w="70" w:type="dxa"/>
              <w:left w:w="70" w:type="dxa"/>
              <w:right w:w="70" w:type="dxa"/>
            </w:tcMar>
          </w:tcPr>
          <w:p>
            <w:pPr>
              <w:spacing w:before="0" w:after="0" w:line="200" w:lineRule="exact"/>
              <w:jc w:val="left"/>
            </w:pPr>
            <w:r>
              <w:rPr>
                <w:rFonts w:ascii="Palatino Linotype" w:hAnsi="Palatino Linotype"/>
                <w:color w:val="2D3748"/>
                <w:sz w:val="16"/>
              </w:rPr>
              <w:t>Eyenaemia</w:t>
            </w:r>
          </w:p>
        </w:tc>
        <w:tc>
          <w:tcPr>
            <w:tcW w:type="dxa" w:w="1584"/>
            <w:shd w:fill="F7FAFC"/>
            <w:tcMar>
              <w:top w:w="70" w:type="dxa"/>
              <w:bottom w:w="70" w:type="dxa"/>
              <w:left w:w="70" w:type="dxa"/>
              <w:right w:w="70" w:type="dxa"/>
            </w:tcMar>
          </w:tcPr>
          <w:p>
            <w:pPr>
              <w:spacing w:before="0" w:after="0" w:line="200" w:lineRule="exact"/>
              <w:jc w:val="left"/>
            </w:pPr>
            <w:r>
              <w:rPr>
                <w:rFonts w:ascii="Palatino Linotype" w:hAnsi="Palatino Linotype"/>
                <w:color w:val="2D3748"/>
                <w:sz w:val="16"/>
              </w:rPr>
              <w:t>Conjunctiva + card</w:t>
            </w:r>
          </w:p>
        </w:tc>
        <w:tc>
          <w:tcPr>
            <w:tcW w:type="dxa" w:w="1296"/>
            <w:shd w:fill="F7FAFC"/>
            <w:tcMar>
              <w:top w:w="70" w:type="dxa"/>
              <w:bottom w:w="70" w:type="dxa"/>
              <w:left w:w="70" w:type="dxa"/>
              <w:right w:w="70" w:type="dxa"/>
            </w:tcMar>
          </w:tcPr>
          <w:p>
            <w:pPr>
              <w:spacing w:before="0" w:after="0" w:line="200" w:lineRule="exact"/>
              <w:jc w:val="left"/>
            </w:pPr>
            <w:r>
              <w:rPr>
                <w:rFonts w:ascii="Palatino Linotype" w:hAnsi="Palatino Linotype"/>
                <w:color w:val="2D3748"/>
                <w:sz w:val="16"/>
              </w:rPr>
              <w:t>Smartphone app</w:t>
            </w:r>
          </w:p>
        </w:tc>
        <w:tc>
          <w:tcPr>
            <w:tcW w:type="dxa" w:w="1152"/>
            <w:shd w:fill="F7FAFC"/>
            <w:tcMar>
              <w:top w:w="70" w:type="dxa"/>
              <w:bottom w:w="70" w:type="dxa"/>
              <w:left w:w="70" w:type="dxa"/>
              <w:right w:w="70" w:type="dxa"/>
            </w:tcMar>
          </w:tcPr>
          <w:p>
            <w:pPr>
              <w:spacing w:before="0" w:after="0" w:line="200" w:lineRule="exact"/>
              <w:jc w:val="left"/>
            </w:pPr>
            <w:r>
              <w:rPr>
                <w:rFonts w:ascii="Palatino Linotype" w:hAnsi="Palatino Linotype"/>
                <w:color w:val="2D3748"/>
                <w:sz w:val="16"/>
              </w:rPr>
              <w:t>Discontinued</w:t>
            </w:r>
          </w:p>
        </w:tc>
        <w:tc>
          <w:tcPr>
            <w:tcW w:type="dxa" w:w="1440"/>
            <w:shd w:fill="F7FAFC"/>
            <w:tcMar>
              <w:top w:w="70" w:type="dxa"/>
              <w:bottom w:w="70" w:type="dxa"/>
              <w:left w:w="70" w:type="dxa"/>
              <w:right w:w="70" w:type="dxa"/>
            </w:tcMar>
          </w:tcPr>
          <w:p>
            <w:pPr>
              <w:spacing w:before="0" w:after="0" w:line="200" w:lineRule="exact"/>
              <w:jc w:val="left"/>
            </w:pPr>
            <w:r>
              <w:rPr>
                <w:rFonts w:ascii="Palatino Linotype" w:hAnsi="Palatino Linotype"/>
                <w:color w:val="2D3748"/>
                <w:sz w:val="16"/>
              </w:rPr>
              <w:t>Concept award</w:t>
            </w:r>
          </w:p>
        </w:tc>
        <w:tc>
          <w:tcPr>
            <w:tcW w:type="dxa" w:w="1829"/>
            <w:shd w:fill="F7FAFC"/>
            <w:tcMar>
              <w:top w:w="70" w:type="dxa"/>
              <w:bottom w:w="70" w:type="dxa"/>
              <w:left w:w="70" w:type="dxa"/>
              <w:right w:w="70" w:type="dxa"/>
            </w:tcMar>
          </w:tcPr>
          <w:p>
            <w:pPr>
              <w:spacing w:before="0" w:after="0" w:line="200" w:lineRule="exact"/>
              <w:jc w:val="left"/>
            </w:pPr>
            <w:r>
              <w:rPr>
                <w:rFonts w:ascii="Palatino Linotype" w:hAnsi="Palatino Linotype"/>
                <w:color w:val="2D3748"/>
                <w:sz w:val="16"/>
              </w:rPr>
              <w:t>Cumbersome physical card required next to eye; card wear</w:t>
            </w:r>
          </w:p>
        </w:tc>
      </w:tr>
      <w:tr>
        <w:tc>
          <w:tcPr>
            <w:tcW w:type="dxa" w:w="1728"/>
            <w:shd w:fill="FFFFFF"/>
            <w:tcMar>
              <w:top w:w="70" w:type="dxa"/>
              <w:bottom w:w="70" w:type="dxa"/>
              <w:left w:w="70" w:type="dxa"/>
              <w:right w:w="70" w:type="dxa"/>
            </w:tcMar>
          </w:tcPr>
          <w:p>
            <w:pPr>
              <w:spacing w:before="0" w:after="0" w:line="200" w:lineRule="exact"/>
              <w:jc w:val="left"/>
            </w:pPr>
            <w:r>
              <w:rPr>
                <w:rFonts w:ascii="Palatino Linotype" w:hAnsi="Palatino Linotype"/>
                <w:color w:val="2D3748"/>
                <w:sz w:val="16"/>
              </w:rPr>
              <w:t>AnaeCare</w:t>
            </w:r>
          </w:p>
        </w:tc>
        <w:tc>
          <w:tcPr>
            <w:tcW w:type="dxa" w:w="1584"/>
            <w:shd w:fill="FFFFFF"/>
            <w:tcMar>
              <w:top w:w="70" w:type="dxa"/>
              <w:bottom w:w="70" w:type="dxa"/>
              <w:left w:w="70" w:type="dxa"/>
              <w:right w:w="70" w:type="dxa"/>
            </w:tcMar>
          </w:tcPr>
          <w:p>
            <w:pPr>
              <w:spacing w:before="0" w:after="0" w:line="200" w:lineRule="exact"/>
              <w:jc w:val="left"/>
            </w:pPr>
            <w:r>
              <w:rPr>
                <w:rFonts w:ascii="Palatino Linotype" w:hAnsi="Palatino Linotype"/>
                <w:color w:val="2D3748"/>
                <w:sz w:val="16"/>
              </w:rPr>
              <w:t>Nails, palms, tips</w:t>
            </w:r>
          </w:p>
        </w:tc>
        <w:tc>
          <w:tcPr>
            <w:tcW w:type="dxa" w:w="1296"/>
            <w:shd w:fill="FFFFFF"/>
            <w:tcMar>
              <w:top w:w="70" w:type="dxa"/>
              <w:bottom w:w="70" w:type="dxa"/>
              <w:left w:w="70" w:type="dxa"/>
              <w:right w:w="70" w:type="dxa"/>
            </w:tcMar>
          </w:tcPr>
          <w:p>
            <w:pPr>
              <w:spacing w:before="0" w:after="0" w:line="200" w:lineRule="exact"/>
              <w:jc w:val="left"/>
            </w:pPr>
            <w:r>
              <w:rPr>
                <w:rFonts w:ascii="Palatino Linotype" w:hAnsi="Palatino Linotype"/>
                <w:color w:val="2D3748"/>
                <w:sz w:val="16"/>
              </w:rPr>
              <w:t>Mobile pipeline</w:t>
            </w:r>
          </w:p>
        </w:tc>
        <w:tc>
          <w:tcPr>
            <w:tcW w:type="dxa" w:w="1152"/>
            <w:shd w:fill="FFFFFF"/>
            <w:tcMar>
              <w:top w:w="70" w:type="dxa"/>
              <w:bottom w:w="70" w:type="dxa"/>
              <w:left w:w="70" w:type="dxa"/>
              <w:right w:w="70" w:type="dxa"/>
            </w:tcMar>
          </w:tcPr>
          <w:p>
            <w:pPr>
              <w:spacing w:before="0" w:after="0" w:line="200" w:lineRule="exact"/>
              <w:jc w:val="left"/>
            </w:pPr>
            <w:r>
              <w:rPr>
                <w:rFonts w:ascii="Palatino Linotype" w:hAnsi="Palatino Linotype"/>
                <w:color w:val="2D3748"/>
                <w:sz w:val="16"/>
              </w:rPr>
              <w:t>Research</w:t>
            </w:r>
          </w:p>
        </w:tc>
        <w:tc>
          <w:tcPr>
            <w:tcW w:type="dxa" w:w="1440"/>
            <w:shd w:fill="FFFFFF"/>
            <w:tcMar>
              <w:top w:w="70" w:type="dxa"/>
              <w:bottom w:w="70" w:type="dxa"/>
              <w:left w:w="70" w:type="dxa"/>
              <w:right w:w="70" w:type="dxa"/>
            </w:tcMar>
          </w:tcPr>
          <w:p>
            <w:pPr>
              <w:spacing w:before="0" w:after="0" w:line="200" w:lineRule="exact"/>
              <w:jc w:val="left"/>
            </w:pPr>
            <w:r>
              <w:rPr>
                <w:rFonts w:ascii="Palatino Linotype" w:hAnsi="Palatino Linotype"/>
                <w:color w:val="2D3748"/>
                <w:sz w:val="16"/>
              </w:rPr>
              <w:t>Academic only</w:t>
            </w:r>
          </w:p>
        </w:tc>
        <w:tc>
          <w:tcPr>
            <w:tcW w:type="dxa" w:w="1829"/>
            <w:shd w:fill="FFFFFF"/>
            <w:tcMar>
              <w:top w:w="70" w:type="dxa"/>
              <w:bottom w:w="70" w:type="dxa"/>
              <w:left w:w="70" w:type="dxa"/>
              <w:right w:w="70" w:type="dxa"/>
            </w:tcMar>
          </w:tcPr>
          <w:p>
            <w:pPr>
              <w:spacing w:before="0" w:after="0" w:line="200" w:lineRule="exact"/>
              <w:jc w:val="left"/>
            </w:pPr>
            <w:r>
              <w:rPr>
                <w:rFonts w:ascii="Palatino Linotype" w:hAnsi="Palatino Linotype"/>
                <w:color w:val="2D3748"/>
                <w:sz w:val="16"/>
              </w:rPr>
              <w:t>Heavy video processing; categorical only (no continuous Hb)</w:t>
            </w:r>
          </w:p>
        </w:tc>
      </w:tr>
      <w:tr>
        <w:tc>
          <w:tcPr>
            <w:tcW w:type="dxa" w:w="1728"/>
            <w:shd w:fill="F7FAFC"/>
            <w:tcMar>
              <w:top w:w="70" w:type="dxa"/>
              <w:bottom w:w="70" w:type="dxa"/>
              <w:left w:w="70" w:type="dxa"/>
              <w:right w:w="70" w:type="dxa"/>
            </w:tcMar>
          </w:tcPr>
          <w:p>
            <w:pPr>
              <w:spacing w:before="0" w:after="0" w:line="200" w:lineRule="exact"/>
              <w:jc w:val="left"/>
            </w:pPr>
            <w:r>
              <w:rPr>
                <w:rFonts w:ascii="Palatino Linotype" w:hAnsi="Palatino Linotype"/>
                <w:color w:val="2D3748"/>
                <w:sz w:val="16"/>
              </w:rPr>
              <w:t>Masimo Rad-67</w:t>
            </w:r>
          </w:p>
        </w:tc>
        <w:tc>
          <w:tcPr>
            <w:tcW w:type="dxa" w:w="1584"/>
            <w:shd w:fill="F7FAFC"/>
            <w:tcMar>
              <w:top w:w="70" w:type="dxa"/>
              <w:bottom w:w="70" w:type="dxa"/>
              <w:left w:w="70" w:type="dxa"/>
              <w:right w:w="70" w:type="dxa"/>
            </w:tcMar>
          </w:tcPr>
          <w:p>
            <w:pPr>
              <w:spacing w:before="0" w:after="0" w:line="200" w:lineRule="exact"/>
              <w:jc w:val="left"/>
            </w:pPr>
            <w:r>
              <w:rPr>
                <w:rFonts w:ascii="Palatino Linotype" w:hAnsi="Palatino Linotype"/>
                <w:color w:val="2D3748"/>
                <w:sz w:val="16"/>
              </w:rPr>
              <w:t>Optical finger clip</w:t>
            </w:r>
          </w:p>
        </w:tc>
        <w:tc>
          <w:tcPr>
            <w:tcW w:type="dxa" w:w="1296"/>
            <w:shd w:fill="F7FAFC"/>
            <w:tcMar>
              <w:top w:w="70" w:type="dxa"/>
              <w:bottom w:w="70" w:type="dxa"/>
              <w:left w:w="70" w:type="dxa"/>
              <w:right w:w="70" w:type="dxa"/>
            </w:tcMar>
          </w:tcPr>
          <w:p>
            <w:pPr>
              <w:spacing w:before="0" w:after="0" w:line="200" w:lineRule="exact"/>
              <w:jc w:val="left"/>
            </w:pPr>
            <w:r>
              <w:rPr>
                <w:rFonts w:ascii="Palatino Linotype" w:hAnsi="Palatino Linotype"/>
                <w:color w:val="2D3748"/>
                <w:sz w:val="16"/>
              </w:rPr>
              <w:t>Handheld hardware</w:t>
            </w:r>
          </w:p>
        </w:tc>
        <w:tc>
          <w:tcPr>
            <w:tcW w:type="dxa" w:w="1152"/>
            <w:shd w:fill="F7FAFC"/>
            <w:tcMar>
              <w:top w:w="70" w:type="dxa"/>
              <w:bottom w:w="70" w:type="dxa"/>
              <w:left w:w="70" w:type="dxa"/>
              <w:right w:w="70" w:type="dxa"/>
            </w:tcMar>
          </w:tcPr>
          <w:p>
            <w:pPr>
              <w:spacing w:before="0" w:after="0" w:line="200" w:lineRule="exact"/>
              <w:jc w:val="left"/>
            </w:pPr>
            <w:r>
              <w:rPr>
                <w:rFonts w:ascii="Palatino Linotype" w:hAnsi="Palatino Linotype"/>
                <w:color w:val="2D3748"/>
                <w:sz w:val="16"/>
              </w:rPr>
              <w:t>$2,500+ device</w:t>
            </w:r>
          </w:p>
        </w:tc>
        <w:tc>
          <w:tcPr>
            <w:tcW w:type="dxa" w:w="1440"/>
            <w:shd w:fill="F7FAFC"/>
            <w:tcMar>
              <w:top w:w="70" w:type="dxa"/>
              <w:bottom w:w="70" w:type="dxa"/>
              <w:left w:w="70" w:type="dxa"/>
              <w:right w:w="70" w:type="dxa"/>
            </w:tcMar>
          </w:tcPr>
          <w:p>
            <w:pPr>
              <w:spacing w:before="0" w:after="0" w:line="200" w:lineRule="exact"/>
              <w:jc w:val="left"/>
            </w:pPr>
            <w:r>
              <w:rPr>
                <w:rFonts w:ascii="Palatino Linotype" w:hAnsi="Palatino Linotype"/>
                <w:color w:val="2D3748"/>
                <w:sz w:val="16"/>
              </w:rPr>
              <w:t>FDA 510(k)</w:t>
            </w:r>
          </w:p>
        </w:tc>
        <w:tc>
          <w:tcPr>
            <w:tcW w:type="dxa" w:w="1829"/>
            <w:shd w:fill="F7FAFC"/>
            <w:tcMar>
              <w:top w:w="70" w:type="dxa"/>
              <w:bottom w:w="70" w:type="dxa"/>
              <w:left w:w="70" w:type="dxa"/>
              <w:right w:w="70" w:type="dxa"/>
            </w:tcMar>
          </w:tcPr>
          <w:p>
            <w:pPr>
              <w:spacing w:before="0" w:after="0" w:line="200" w:lineRule="exact"/>
              <w:jc w:val="left"/>
            </w:pPr>
            <w:r>
              <w:rPr>
                <w:rFonts w:ascii="Palatino Linotype" w:hAnsi="Palatino Linotype"/>
                <w:color w:val="2D3748"/>
                <w:sz w:val="16"/>
              </w:rPr>
              <w:t>High cost; NOT cleared for pregnant women or children</w:t>
            </w:r>
          </w:p>
        </w:tc>
      </w:tr>
      <w:tr>
        <w:tc>
          <w:tcPr>
            <w:tcW w:type="dxa" w:w="1728"/>
            <w:shd w:fill="FFFFFF"/>
            <w:tcMar>
              <w:top w:w="70" w:type="dxa"/>
              <w:bottom w:w="70" w:type="dxa"/>
              <w:left w:w="70" w:type="dxa"/>
              <w:right w:w="70" w:type="dxa"/>
            </w:tcMar>
          </w:tcPr>
          <w:p>
            <w:pPr>
              <w:spacing w:before="0" w:after="0" w:line="200" w:lineRule="exact"/>
              <w:jc w:val="left"/>
            </w:pPr>
            <w:r>
              <w:rPr>
                <w:rFonts w:ascii="Palatino Linotype" w:hAnsi="Palatino Linotype"/>
                <w:color w:val="2D3748"/>
                <w:sz w:val="16"/>
              </w:rPr>
              <w:t>OrSense NBM-200</w:t>
            </w:r>
          </w:p>
        </w:tc>
        <w:tc>
          <w:tcPr>
            <w:tcW w:type="dxa" w:w="1584"/>
            <w:shd w:fill="FFFFFF"/>
            <w:tcMar>
              <w:top w:w="70" w:type="dxa"/>
              <w:bottom w:w="70" w:type="dxa"/>
              <w:left w:w="70" w:type="dxa"/>
              <w:right w:w="70" w:type="dxa"/>
            </w:tcMar>
          </w:tcPr>
          <w:p>
            <w:pPr>
              <w:spacing w:before="0" w:after="0" w:line="200" w:lineRule="exact"/>
              <w:jc w:val="left"/>
            </w:pPr>
            <w:r>
              <w:rPr>
                <w:rFonts w:ascii="Palatino Linotype" w:hAnsi="Palatino Linotype"/>
                <w:color w:val="2D3748"/>
                <w:sz w:val="16"/>
              </w:rPr>
              <w:t>Pneumatic finger cuff</w:t>
            </w:r>
          </w:p>
        </w:tc>
        <w:tc>
          <w:tcPr>
            <w:tcW w:type="dxa" w:w="1296"/>
            <w:shd w:fill="FFFFFF"/>
            <w:tcMar>
              <w:top w:w="70" w:type="dxa"/>
              <w:bottom w:w="70" w:type="dxa"/>
              <w:left w:w="70" w:type="dxa"/>
              <w:right w:w="70" w:type="dxa"/>
            </w:tcMar>
          </w:tcPr>
          <w:p>
            <w:pPr>
              <w:spacing w:before="0" w:after="0" w:line="200" w:lineRule="exact"/>
              <w:jc w:val="left"/>
            </w:pPr>
            <w:r>
              <w:rPr>
                <w:rFonts w:ascii="Palatino Linotype" w:hAnsi="Palatino Linotype"/>
                <w:color w:val="2D3748"/>
                <w:sz w:val="16"/>
              </w:rPr>
              <w:t>Tabletop hardware</w:t>
            </w:r>
          </w:p>
        </w:tc>
        <w:tc>
          <w:tcPr>
            <w:tcW w:type="dxa" w:w="1152"/>
            <w:shd w:fill="FFFFFF"/>
            <w:tcMar>
              <w:top w:w="70" w:type="dxa"/>
              <w:bottom w:w="70" w:type="dxa"/>
              <w:left w:w="70" w:type="dxa"/>
              <w:right w:w="70" w:type="dxa"/>
            </w:tcMar>
          </w:tcPr>
          <w:p>
            <w:pPr>
              <w:spacing w:before="0" w:after="0" w:line="200" w:lineRule="exact"/>
              <w:jc w:val="left"/>
            </w:pPr>
            <w:r>
              <w:rPr>
                <w:rFonts w:ascii="Palatino Linotype" w:hAnsi="Palatino Linotype"/>
                <w:color w:val="2D3748"/>
                <w:sz w:val="16"/>
              </w:rPr>
              <w:t>$3,000+ device</w:t>
            </w:r>
          </w:p>
        </w:tc>
        <w:tc>
          <w:tcPr>
            <w:tcW w:type="dxa" w:w="1440"/>
            <w:shd w:fill="FFFFFF"/>
            <w:tcMar>
              <w:top w:w="70" w:type="dxa"/>
              <w:bottom w:w="70" w:type="dxa"/>
              <w:left w:w="70" w:type="dxa"/>
              <w:right w:w="70" w:type="dxa"/>
            </w:tcMar>
          </w:tcPr>
          <w:p>
            <w:pPr>
              <w:spacing w:before="0" w:after="0" w:line="200" w:lineRule="exact"/>
              <w:jc w:val="left"/>
            </w:pPr>
            <w:r>
              <w:rPr>
                <w:rFonts w:ascii="Palatino Linotype" w:hAnsi="Palatino Linotype"/>
                <w:color w:val="2D3748"/>
                <w:sz w:val="16"/>
              </w:rPr>
              <w:t>FDA 510(k)</w:t>
            </w:r>
          </w:p>
        </w:tc>
        <w:tc>
          <w:tcPr>
            <w:tcW w:type="dxa" w:w="1829"/>
            <w:shd w:fill="FFFFFF"/>
            <w:tcMar>
              <w:top w:w="70" w:type="dxa"/>
              <w:bottom w:w="70" w:type="dxa"/>
              <w:left w:w="70" w:type="dxa"/>
              <w:right w:w="70" w:type="dxa"/>
            </w:tcMar>
          </w:tcPr>
          <w:p>
            <w:pPr>
              <w:spacing w:before="0" w:after="0" w:line="200" w:lineRule="exact"/>
              <w:jc w:val="left"/>
            </w:pPr>
            <w:r>
              <w:rPr>
                <w:rFonts w:ascii="Palatino Linotype" w:hAnsi="Palatino Linotype"/>
                <w:color w:val="2D3748"/>
                <w:sz w:val="16"/>
              </w:rPr>
              <w:t>Bulky console; 60s pneumatic cuff occlusion; fixed centers</w:t>
            </w:r>
          </w:p>
        </w:tc>
      </w:tr>
      <w:tr>
        <w:tc>
          <w:tcPr>
            <w:tcW w:type="dxa" w:w="1728"/>
            <w:shd w:fill="F7FAFC"/>
            <w:tcMar>
              <w:top w:w="70" w:type="dxa"/>
              <w:bottom w:w="70" w:type="dxa"/>
              <w:left w:w="70" w:type="dxa"/>
              <w:right w:w="70" w:type="dxa"/>
            </w:tcMar>
          </w:tcPr>
          <w:p>
            <w:pPr>
              <w:spacing w:before="0" w:after="0" w:line="200" w:lineRule="exact"/>
              <w:jc w:val="left"/>
            </w:pPr>
            <w:r>
              <w:rPr>
                <w:rFonts w:ascii="Palatino Linotype" w:hAnsi="Palatino Linotype"/>
                <w:color w:val="2D3748"/>
                <w:sz w:val="16"/>
              </w:rPr>
              <w:t>EzeCheck</w:t>
            </w:r>
          </w:p>
        </w:tc>
        <w:tc>
          <w:tcPr>
            <w:tcW w:type="dxa" w:w="1584"/>
            <w:shd w:fill="F7FAFC"/>
            <w:tcMar>
              <w:top w:w="70" w:type="dxa"/>
              <w:bottom w:w="70" w:type="dxa"/>
              <w:left w:w="70" w:type="dxa"/>
              <w:right w:w="70" w:type="dxa"/>
            </w:tcMar>
          </w:tcPr>
          <w:p>
            <w:pPr>
              <w:spacing w:before="0" w:after="0" w:line="200" w:lineRule="exact"/>
              <w:jc w:val="left"/>
            </w:pPr>
            <w:r>
              <w:rPr>
                <w:rFonts w:ascii="Palatino Linotype" w:hAnsi="Palatino Linotype"/>
                <w:color w:val="2D3748"/>
                <w:sz w:val="16"/>
              </w:rPr>
              <w:t>Fingertip biosensor</w:t>
            </w:r>
          </w:p>
        </w:tc>
        <w:tc>
          <w:tcPr>
            <w:tcW w:type="dxa" w:w="1296"/>
            <w:shd w:fill="F7FAFC"/>
            <w:tcMar>
              <w:top w:w="70" w:type="dxa"/>
              <w:bottom w:w="70" w:type="dxa"/>
              <w:left w:w="70" w:type="dxa"/>
              <w:right w:w="70" w:type="dxa"/>
            </w:tcMar>
          </w:tcPr>
          <w:p>
            <w:pPr>
              <w:spacing w:before="0" w:after="0" w:line="200" w:lineRule="exact"/>
              <w:jc w:val="left"/>
            </w:pPr>
            <w:r>
              <w:rPr>
                <w:rFonts w:ascii="Palatino Linotype" w:hAnsi="Palatino Linotype"/>
                <w:color w:val="2D3748"/>
                <w:sz w:val="16"/>
              </w:rPr>
              <w:t>Handheld IoT</w:t>
            </w:r>
          </w:p>
        </w:tc>
        <w:tc>
          <w:tcPr>
            <w:tcW w:type="dxa" w:w="1152"/>
            <w:shd w:fill="F7FAFC"/>
            <w:tcMar>
              <w:top w:w="70" w:type="dxa"/>
              <w:bottom w:w="70" w:type="dxa"/>
              <w:left w:w="70" w:type="dxa"/>
              <w:right w:w="70" w:type="dxa"/>
            </w:tcMar>
          </w:tcPr>
          <w:p>
            <w:pPr>
              <w:spacing w:before="0" w:after="0" w:line="200" w:lineRule="exact"/>
              <w:jc w:val="left"/>
            </w:pPr>
            <w:r>
              <w:rPr>
                <w:rFonts w:ascii="Palatino Linotype" w:hAnsi="Palatino Linotype"/>
                <w:color w:val="2D3748"/>
                <w:sz w:val="16"/>
              </w:rPr>
              <w:t>Device + fee</w:t>
            </w:r>
          </w:p>
        </w:tc>
        <w:tc>
          <w:tcPr>
            <w:tcW w:type="dxa" w:w="1440"/>
            <w:shd w:fill="F7FAFC"/>
            <w:tcMar>
              <w:top w:w="70" w:type="dxa"/>
              <w:bottom w:w="70" w:type="dxa"/>
              <w:left w:w="70" w:type="dxa"/>
              <w:right w:w="70" w:type="dxa"/>
            </w:tcMar>
          </w:tcPr>
          <w:p>
            <w:pPr>
              <w:spacing w:before="0" w:after="0" w:line="200" w:lineRule="exact"/>
              <w:jc w:val="left"/>
            </w:pPr>
            <w:r>
              <w:rPr>
                <w:rFonts w:ascii="Palatino Linotype" w:hAnsi="Palatino Linotype"/>
                <w:color w:val="2D3748"/>
                <w:sz w:val="16"/>
              </w:rPr>
              <w:t>CE / CDSCO</w:t>
            </w:r>
          </w:p>
        </w:tc>
        <w:tc>
          <w:tcPr>
            <w:tcW w:type="dxa" w:w="1829"/>
            <w:shd w:fill="F7FAFC"/>
            <w:tcMar>
              <w:top w:w="70" w:type="dxa"/>
              <w:bottom w:w="70" w:type="dxa"/>
              <w:left w:w="70" w:type="dxa"/>
              <w:right w:w="70" w:type="dxa"/>
            </w:tcMar>
          </w:tcPr>
          <w:p>
            <w:pPr>
              <w:spacing w:before="0" w:after="0" w:line="200" w:lineRule="exact"/>
              <w:jc w:val="left"/>
            </w:pPr>
            <w:r>
              <w:rPr>
                <w:rFonts w:ascii="Palatino Linotype" w:hAnsi="Palatino Linotype"/>
                <w:color w:val="2D3748"/>
                <w:sz w:val="16"/>
              </w:rPr>
              <w:t>Requires purchasing/distributing proprietary hardware devices</w:t>
            </w:r>
          </w:p>
        </w:tc>
      </w:tr>
      <w:tr>
        <w:tc>
          <w:tcPr>
            <w:tcW w:type="dxa" w:w="1728"/>
            <w:shd w:fill="FFFFFF"/>
            <w:tcMar>
              <w:top w:w="70" w:type="dxa"/>
              <w:bottom w:w="70" w:type="dxa"/>
              <w:left w:w="70" w:type="dxa"/>
              <w:right w:w="70" w:type="dxa"/>
            </w:tcMar>
          </w:tcPr>
          <w:p>
            <w:pPr>
              <w:spacing w:before="0" w:after="0" w:line="200" w:lineRule="exact"/>
              <w:jc w:val="left"/>
            </w:pPr>
            <w:r>
              <w:rPr>
                <w:rFonts w:ascii="Palatino Linotype" w:hAnsi="Palatino Linotype"/>
                <w:color w:val="2D3748"/>
                <w:sz w:val="16"/>
              </w:rPr>
              <w:t>HemoCue Hb 301</w:t>
            </w:r>
          </w:p>
        </w:tc>
        <w:tc>
          <w:tcPr>
            <w:tcW w:type="dxa" w:w="1584"/>
            <w:shd w:fill="FFFFFF"/>
            <w:tcMar>
              <w:top w:w="70" w:type="dxa"/>
              <w:bottom w:w="70" w:type="dxa"/>
              <w:left w:w="70" w:type="dxa"/>
              <w:right w:w="70" w:type="dxa"/>
            </w:tcMar>
          </w:tcPr>
          <w:p>
            <w:pPr>
              <w:spacing w:before="0" w:after="0" w:line="200" w:lineRule="exact"/>
              <w:jc w:val="left"/>
            </w:pPr>
            <w:r>
              <w:rPr>
                <w:rFonts w:ascii="Palatino Linotype" w:hAnsi="Palatino Linotype"/>
                <w:color w:val="2D3748"/>
                <w:sz w:val="16"/>
              </w:rPr>
              <w:t>Invasive finger prick</w:t>
            </w:r>
          </w:p>
        </w:tc>
        <w:tc>
          <w:tcPr>
            <w:tcW w:type="dxa" w:w="1296"/>
            <w:shd w:fill="FFFFFF"/>
            <w:tcMar>
              <w:top w:w="70" w:type="dxa"/>
              <w:bottom w:w="70" w:type="dxa"/>
              <w:left w:w="70" w:type="dxa"/>
              <w:right w:w="70" w:type="dxa"/>
            </w:tcMar>
          </w:tcPr>
          <w:p>
            <w:pPr>
              <w:spacing w:before="0" w:after="0" w:line="200" w:lineRule="exact"/>
              <w:jc w:val="left"/>
            </w:pPr>
            <w:r>
              <w:rPr>
                <w:rFonts w:ascii="Palatino Linotype" w:hAnsi="Palatino Linotype"/>
                <w:color w:val="2D3748"/>
                <w:sz w:val="16"/>
              </w:rPr>
              <w:t>Tabletop reader</w:t>
            </w:r>
          </w:p>
        </w:tc>
        <w:tc>
          <w:tcPr>
            <w:tcW w:type="dxa" w:w="1152"/>
            <w:shd w:fill="FFFFFF"/>
            <w:tcMar>
              <w:top w:w="70" w:type="dxa"/>
              <w:bottom w:w="70" w:type="dxa"/>
              <w:left w:w="70" w:type="dxa"/>
              <w:right w:w="70" w:type="dxa"/>
            </w:tcMar>
          </w:tcPr>
          <w:p>
            <w:pPr>
              <w:spacing w:before="0" w:after="0" w:line="200" w:lineRule="exact"/>
              <w:jc w:val="left"/>
            </w:pPr>
            <w:r>
              <w:rPr>
                <w:rFonts w:ascii="Palatino Linotype" w:hAnsi="Palatino Linotype"/>
                <w:color w:val="2D3748"/>
                <w:sz w:val="16"/>
              </w:rPr>
              <w:t>₱75–₱150/test</w:t>
            </w:r>
          </w:p>
        </w:tc>
        <w:tc>
          <w:tcPr>
            <w:tcW w:type="dxa" w:w="1440"/>
            <w:shd w:fill="FFFFFF"/>
            <w:tcMar>
              <w:top w:w="70" w:type="dxa"/>
              <w:bottom w:w="70" w:type="dxa"/>
              <w:left w:w="70" w:type="dxa"/>
              <w:right w:w="70" w:type="dxa"/>
            </w:tcMar>
          </w:tcPr>
          <w:p>
            <w:pPr>
              <w:spacing w:before="0" w:after="0" w:line="200" w:lineRule="exact"/>
              <w:jc w:val="left"/>
            </w:pPr>
            <w:r>
              <w:rPr>
                <w:rFonts w:ascii="Palatino Linotype" w:hAnsi="Palatino Linotype"/>
                <w:color w:val="2D3748"/>
                <w:sz w:val="16"/>
              </w:rPr>
              <w:t>FDA/WHO standard</w:t>
            </w:r>
          </w:p>
        </w:tc>
        <w:tc>
          <w:tcPr>
            <w:tcW w:type="dxa" w:w="1829"/>
            <w:shd w:fill="FFFFFF"/>
            <w:tcMar>
              <w:top w:w="70" w:type="dxa"/>
              <w:bottom w:w="70" w:type="dxa"/>
              <w:left w:w="70" w:type="dxa"/>
              <w:right w:w="70" w:type="dxa"/>
            </w:tcMar>
          </w:tcPr>
          <w:p>
            <w:pPr>
              <w:spacing w:before="0" w:after="0" w:line="200" w:lineRule="exact"/>
              <w:jc w:val="left"/>
            </w:pPr>
            <w:r>
              <w:rPr>
                <w:rFonts w:ascii="Palatino Linotype" w:hAnsi="Palatino Linotype"/>
                <w:color w:val="2D3748"/>
                <w:sz w:val="16"/>
              </w:rPr>
              <w:t>Painful; recurring microcuvette consumable costs paralyze LGUs</w:t>
            </w:r>
          </w:p>
        </w:tc>
      </w:tr>
      <w:tr>
        <w:tc>
          <w:tcPr>
            <w:tcW w:type="dxa" w:w="1728"/>
            <w:shd w:fill="EBF8FF"/>
            <w:tcMar>
              <w:top w:w="70" w:type="dxa"/>
              <w:bottom w:w="70" w:type="dxa"/>
              <w:left w:w="70" w:type="dxa"/>
              <w:right w:w="70" w:type="dxa"/>
            </w:tcMar>
          </w:tcPr>
          <w:p>
            <w:pPr>
              <w:spacing w:before="0" w:after="0" w:line="200" w:lineRule="exact"/>
              <w:jc w:val="left"/>
            </w:pPr>
            <w:r>
              <w:rPr>
                <w:rFonts w:ascii="Palatino Linotype" w:hAnsi="Palatino Linotype"/>
                <w:b/>
                <w:color w:val="1A365D"/>
                <w:sz w:val="16"/>
              </w:rPr>
              <w:t>TinginHB</w:t>
            </w:r>
          </w:p>
        </w:tc>
        <w:tc>
          <w:tcPr>
            <w:tcW w:type="dxa" w:w="1584"/>
            <w:shd w:fill="EBF8FF"/>
            <w:tcMar>
              <w:top w:w="70" w:type="dxa"/>
              <w:bottom w:w="70" w:type="dxa"/>
              <w:left w:w="70" w:type="dxa"/>
              <w:right w:w="70" w:type="dxa"/>
            </w:tcMar>
          </w:tcPr>
          <w:p>
            <w:pPr>
              <w:spacing w:before="0" w:after="0" w:line="200" w:lineRule="exact"/>
              <w:jc w:val="left"/>
            </w:pPr>
            <w:r>
              <w:rPr>
                <w:rFonts w:ascii="Palatino Linotype" w:hAnsi="Palatino Linotype"/>
                <w:b w:val="0"/>
                <w:color w:val="2D3748"/>
                <w:sz w:val="16"/>
              </w:rPr>
              <w:t>Dual-Site: Eye + Nail</w:t>
            </w:r>
          </w:p>
        </w:tc>
        <w:tc>
          <w:tcPr>
            <w:tcW w:type="dxa" w:w="1296"/>
            <w:shd w:fill="EBF8FF"/>
            <w:tcMar>
              <w:top w:w="70" w:type="dxa"/>
              <w:bottom w:w="70" w:type="dxa"/>
              <w:left w:w="70" w:type="dxa"/>
              <w:right w:w="70" w:type="dxa"/>
            </w:tcMar>
          </w:tcPr>
          <w:p>
            <w:pPr>
              <w:spacing w:before="0" w:after="0" w:line="200" w:lineRule="exact"/>
              <w:jc w:val="left"/>
            </w:pPr>
            <w:r>
              <w:rPr>
                <w:rFonts w:ascii="Palatino Linotype" w:hAnsi="Palatino Linotype"/>
                <w:b w:val="0"/>
                <w:color w:val="2D3748"/>
                <w:sz w:val="16"/>
              </w:rPr>
              <w:t>Offline Android</w:t>
            </w:r>
          </w:p>
        </w:tc>
        <w:tc>
          <w:tcPr>
            <w:tcW w:type="dxa" w:w="1152"/>
            <w:shd w:fill="EBF8FF"/>
            <w:tcMar>
              <w:top w:w="70" w:type="dxa"/>
              <w:bottom w:w="70" w:type="dxa"/>
              <w:left w:w="70" w:type="dxa"/>
              <w:right w:w="70" w:type="dxa"/>
            </w:tcMar>
          </w:tcPr>
          <w:p>
            <w:pPr>
              <w:spacing w:before="0" w:after="0" w:line="200" w:lineRule="exact"/>
              <w:jc w:val="left"/>
            </w:pPr>
            <w:r>
              <w:rPr>
                <w:rFonts w:ascii="Palatino Linotype" w:hAnsi="Palatino Linotype"/>
                <w:b/>
                <w:color w:val="2D3748"/>
                <w:sz w:val="16"/>
              </w:rPr>
              <w:t>₱0.00 / test</w:t>
            </w:r>
          </w:p>
        </w:tc>
        <w:tc>
          <w:tcPr>
            <w:tcW w:type="dxa" w:w="1440"/>
            <w:shd w:fill="EBF8FF"/>
            <w:tcMar>
              <w:top w:w="70" w:type="dxa"/>
              <w:bottom w:w="70" w:type="dxa"/>
              <w:left w:w="70" w:type="dxa"/>
              <w:right w:w="70" w:type="dxa"/>
            </w:tcMar>
          </w:tcPr>
          <w:p>
            <w:pPr>
              <w:spacing w:before="0" w:after="0" w:line="200" w:lineRule="exact"/>
              <w:jc w:val="left"/>
            </w:pPr>
            <w:r>
              <w:rPr>
                <w:rFonts w:ascii="Palatino Linotype" w:hAnsi="Palatino Linotype"/>
                <w:b/>
                <w:color w:val="2D3748"/>
                <w:sz w:val="16"/>
              </w:rPr>
              <w:t>Software Triage</w:t>
            </w:r>
          </w:p>
        </w:tc>
        <w:tc>
          <w:tcPr>
            <w:tcW w:type="dxa" w:w="1829"/>
            <w:shd w:fill="EBF8FF"/>
            <w:tcMar>
              <w:top w:w="70" w:type="dxa"/>
              <w:bottom w:w="70" w:type="dxa"/>
              <w:left w:w="70" w:type="dxa"/>
              <w:right w:w="70" w:type="dxa"/>
            </w:tcMar>
          </w:tcPr>
          <w:p>
            <w:pPr>
              <w:spacing w:before="0" w:after="0" w:line="200" w:lineRule="exact"/>
              <w:jc w:val="left"/>
            </w:pPr>
            <w:r>
              <w:rPr>
                <w:rFonts w:ascii="Palatino Linotype" w:hAnsi="Palatino Linotype"/>
                <w:b w:val="0"/>
                <w:color w:val="2D3748"/>
                <w:sz w:val="16"/>
              </w:rPr>
              <w:t>Evaluates multi-site consistency; zero hardware; runs offline on ₱5k phones</w:t>
            </w:r>
          </w:p>
        </w:tc>
      </w:tr>
    </w:tbl>
    <w:p>
      <w:pPr>
        <w:spacing w:after="240"/>
      </w:pPr>
    </w:p>
    <w:p>
      <w:pPr>
        <w:spacing w:before="280" w:after="120"/>
      </w:pPr>
      <w:r>
        <w:rPr>
          <w:rFonts w:ascii="Arial" w:hAnsi="Arial"/>
          <w:b/>
          <w:color w:val="1A365D"/>
          <w:sz w:val="26"/>
        </w:rPr>
        <w:t>2. In-Depth Competitor Profiles</w:t>
      </w:r>
    </w:p>
    <w:p>
      <w:pPr>
        <w:spacing w:before="200" w:after="60"/>
      </w:pPr>
      <w:r>
        <w:rPr>
          <w:rFonts w:ascii="Arial" w:hAnsi="Arial"/>
          <w:b/>
          <w:color w:val="2B6CB0"/>
          <w:sz w:val="21"/>
        </w:rPr>
        <w:t>A. Software-Only Smartphone Apps (Direct Competitors)</w:t>
      </w:r>
    </w:p>
    <w:p>
      <w:pPr>
        <w:pStyle w:val="ListBullet"/>
        <w:spacing w:before="0" w:after="60" w:line="260" w:lineRule="exact"/>
      </w:pPr>
      <w:r>
        <w:rPr>
          <w:rFonts w:ascii="Palatino Linotype" w:hAnsi="Palatino Linotype"/>
          <w:b/>
          <w:color w:val="2D3748"/>
          <w:sz w:val="20"/>
        </w:rPr>
        <w:t xml:space="preserve">Ruby / AnemoCheck Mobile (Sanguina, USA): </w:t>
      </w:r>
      <w:r>
        <w:rPr>
          <w:rFonts w:ascii="Palatino Linotype" w:hAnsi="Palatino Linotype"/>
          <w:color w:val="2D3748"/>
          <w:sz w:val="20"/>
        </w:rPr>
        <w:t>Emory/Georgia Tech spinoff. Uses fingernail selfies to calculate an 'Iron Score'. While backed by strong NIH funding and Nature Communications publications, accuracy strictly requires user 'personalization' (manually inputting a recent blood test). Without calibration, ambient lighting shifts and melanin variations cause wide error margins. Only their chemical blood-drop kit is FDA-cleared; the app remains an unapproved wellness tracker.</w:t>
      </w:r>
    </w:p>
    <w:p>
      <w:pPr>
        <w:pStyle w:val="ListBullet"/>
        <w:spacing w:before="0" w:after="60" w:line="260" w:lineRule="exact"/>
      </w:pPr>
      <w:r>
        <w:rPr>
          <w:rFonts w:ascii="Palatino Linotype" w:hAnsi="Palatino Linotype"/>
          <w:b/>
          <w:color w:val="2D3748"/>
          <w:sz w:val="20"/>
        </w:rPr>
        <w:t xml:space="preserve">HemaChrome (Purdue University, USA): </w:t>
      </w:r>
      <w:r>
        <w:rPr>
          <w:rFonts w:ascii="Palatino Linotype" w:hAnsi="Palatino Linotype"/>
          <w:color w:val="2D3748"/>
          <w:sz w:val="20"/>
        </w:rPr>
        <w:t>Founded by Prof. Young Kim. Transforms smartphone photos of the palpebral conjunctiva into virtual hyperspectral bands and grayscale radiomics (microvascular texture). While scientifically rigorous, relying solely on the eye makes it vulnerable to allergic conjunctivitis, smoke irritation, dry eye, and jaundice. Elicits pediatric and geriatric resistance to eyelid eversion.</w:t>
      </w:r>
    </w:p>
    <w:p>
      <w:pPr>
        <w:pStyle w:val="ListBullet"/>
        <w:spacing w:before="0" w:after="60" w:line="260" w:lineRule="exact"/>
      </w:pPr>
      <w:r>
        <w:rPr>
          <w:rFonts w:ascii="Palatino Linotype" w:hAnsi="Palatino Linotype"/>
          <w:b/>
          <w:color w:val="2D3748"/>
          <w:sz w:val="20"/>
        </w:rPr>
        <w:t xml:space="preserve">Eyenaemia (Australia): </w:t>
      </w:r>
      <w:r>
        <w:rPr>
          <w:rFonts w:ascii="Palatino Linotype" w:hAnsi="Palatino Linotype"/>
          <w:color w:val="2D3748"/>
          <w:sz w:val="20"/>
        </w:rPr>
        <w:t>Microsoft Imagine Cup 2014 winner. Required users to hold a physical color card next to their face for white balance. The physical card requirement failed in field conditions due to card wear, soiling, and shadow artifacts.</w:t>
      </w:r>
    </w:p>
    <w:p>
      <w:pPr>
        <w:pStyle w:val="ListBullet"/>
        <w:spacing w:before="0" w:after="60" w:line="260" w:lineRule="exact"/>
      </w:pPr>
      <w:r>
        <w:rPr>
          <w:rFonts w:ascii="Palatino Linotype" w:hAnsi="Palatino Linotype"/>
          <w:b/>
          <w:color w:val="2D3748"/>
          <w:sz w:val="20"/>
        </w:rPr>
        <w:t xml:space="preserve">AnaeCare (Peru): </w:t>
      </w:r>
      <w:r>
        <w:rPr>
          <w:rFonts w:ascii="Palatino Linotype" w:hAnsi="Palatino Linotype"/>
          <w:color w:val="2D3748"/>
          <w:sz w:val="20"/>
        </w:rPr>
        <w:t>Multimodal academic study (2025) capturing fingertip videos, palm videos, and nail photos from 909 subjects. Relies on heavy video sampling (~40,000 frames) and categorical-only triage (Normal/Mild/Moderate), lacking continuous quantitative Hb regression.</w:t>
      </w:r>
    </w:p>
    <w:p>
      <w:pPr>
        <w:spacing w:before="200" w:after="60"/>
      </w:pPr>
      <w:r>
        <w:rPr>
          <w:rFonts w:ascii="Arial" w:hAnsi="Arial"/>
          <w:b/>
          <w:color w:val="2B6CB0"/>
          <w:sz w:val="21"/>
        </w:rPr>
        <w:t>B. Non-Invasive Point-of-Care Hardware (Indirect Competitors)</w:t>
      </w:r>
    </w:p>
    <w:p>
      <w:pPr>
        <w:pStyle w:val="ListBullet"/>
        <w:spacing w:before="0" w:after="60" w:line="260" w:lineRule="exact"/>
      </w:pPr>
      <w:r>
        <w:rPr>
          <w:rFonts w:ascii="Palatino Linotype" w:hAnsi="Palatino Linotype"/>
          <w:b/>
          <w:color w:val="2D3748"/>
          <w:sz w:val="20"/>
        </w:rPr>
        <w:t xml:space="preserve">Masimo Rad-67 &amp; Pronto (USA): </w:t>
      </w:r>
      <w:r>
        <w:rPr>
          <w:rFonts w:ascii="Palatino Linotype" w:hAnsi="Palatino Linotype"/>
          <w:color w:val="2D3748"/>
          <w:sz w:val="20"/>
        </w:rPr>
        <w:t>FDA 510(k)-cleared pulse co-oximeter finger sensor ($2,500–$5,000+). Crucially, FDA clearance explicitly excludes pregnant women and children—the exact populations at highest risk. Accuracy drops under low peripheral perfusion, shock, or cold weather.</w:t>
      </w:r>
    </w:p>
    <w:p>
      <w:pPr>
        <w:pStyle w:val="ListBullet"/>
        <w:spacing w:before="0" w:after="60" w:line="260" w:lineRule="exact"/>
      </w:pPr>
      <w:r>
        <w:rPr>
          <w:rFonts w:ascii="Palatino Linotype" w:hAnsi="Palatino Linotype"/>
          <w:b/>
          <w:color w:val="2D3748"/>
          <w:sz w:val="20"/>
        </w:rPr>
        <w:t xml:space="preserve">OrSense NBM-200 (Israel/USA): </w:t>
      </w:r>
      <w:r>
        <w:rPr>
          <w:rFonts w:ascii="Palatino Linotype" w:hAnsi="Palatino Linotype"/>
          <w:color w:val="2D3748"/>
          <w:sz w:val="20"/>
        </w:rPr>
        <w:t>FDA-cleared occlusion spectroscopy device ($3,000+) using an inflatable pneumatic finger ring. Bulky console designed for fixed blood banks rather than mobile rural health workers.</w:t>
      </w:r>
    </w:p>
    <w:p>
      <w:pPr>
        <w:pStyle w:val="ListBullet"/>
        <w:spacing w:before="0" w:after="60" w:line="260" w:lineRule="exact"/>
      </w:pPr>
      <w:r>
        <w:rPr>
          <w:rFonts w:ascii="Palatino Linotype" w:hAnsi="Palatino Linotype"/>
          <w:b/>
          <w:color w:val="2D3748"/>
          <w:sz w:val="20"/>
        </w:rPr>
        <w:t xml:space="preserve">EzeCheck (EzeRx, India): </w:t>
      </w:r>
      <w:r>
        <w:rPr>
          <w:rFonts w:ascii="Palatino Linotype" w:hAnsi="Palatino Linotype"/>
          <w:color w:val="2D3748"/>
          <w:sz w:val="20"/>
        </w:rPr>
        <w:t>Handheld spectroscopic optical biosensor deployed in rural India. Still requires purchasing, procuring, and physically maintaining proprietary electronic readers.</w:t>
      </w:r>
    </w:p>
    <w:p>
      <w:pPr>
        <w:spacing w:before="200" w:after="60"/>
      </w:pPr>
      <w:r>
        <w:rPr>
          <w:rFonts w:ascii="Arial" w:hAnsi="Arial"/>
          <w:b/>
          <w:color w:val="2B6CB0"/>
          <w:sz w:val="21"/>
        </w:rPr>
        <w:t>C. Invasive Standard-of-Care Baseline (The Incumbent)</w:t>
      </w:r>
    </w:p>
    <w:p>
      <w:pPr>
        <w:pStyle w:val="ListBullet"/>
        <w:spacing w:before="0" w:after="60" w:line="260" w:lineRule="exact"/>
      </w:pPr>
      <w:r>
        <w:rPr>
          <w:rFonts w:ascii="Palatino Linotype" w:hAnsi="Palatino Linotype"/>
          <w:b/>
          <w:color w:val="2D3748"/>
          <w:sz w:val="20"/>
        </w:rPr>
        <w:t xml:space="preserve">HemoCue Hb 301 (Radiometer, Sweden): </w:t>
      </w:r>
      <w:r>
        <w:rPr>
          <w:rFonts w:ascii="Palatino Linotype" w:hAnsi="Palatino Linotype"/>
          <w:color w:val="2D3748"/>
          <w:sz w:val="20"/>
        </w:rPr>
        <w:t>WHO-endorsed field standard. Capillary blood finger prick into a disposable microcuvette. Suffers from the 'Consumables Trap': readers cost $1,200, but disposable cuvettes cost ₱75–₱150 per test. Rural Philippine health units routinely run out of cuvette supplies, leaving devices abandoned. Creates biohazardous sharps waste.</w:t>
      </w:r>
    </w:p>
    <w:p>
      <w:pPr>
        <w:spacing w:before="280" w:after="120"/>
      </w:pPr>
      <w:r>
        <w:rPr>
          <w:rFonts w:ascii="Arial" w:hAnsi="Arial"/>
          <w:b/>
          <w:color w:val="1A365D"/>
          <w:sz w:val="26"/>
        </w:rPr>
        <w:t>3. The 4 Engineering Traps That Stalled Prior Art</w:t>
      </w:r>
    </w:p>
    <w:p>
      <w:pPr>
        <w:pStyle w:val="ListBullet"/>
        <w:spacing w:before="0" w:after="60" w:line="260" w:lineRule="exact"/>
      </w:pPr>
      <w:r>
        <w:rPr>
          <w:rFonts w:ascii="Palatino Linotype" w:hAnsi="Palatino Linotype"/>
          <w:b/>
          <w:color w:val="2D3748"/>
          <w:sz w:val="20"/>
        </w:rPr>
        <w:t xml:space="preserve">1. The Melanin Bias Trap: </w:t>
      </w:r>
      <w:r>
        <w:rPr>
          <w:rFonts w:ascii="Palatino Linotype" w:hAnsi="Palatino Linotype"/>
          <w:color w:val="2D3748"/>
          <w:sz w:val="20"/>
        </w:rPr>
        <w:t>Relying on fingernails alone causes darker skin types (Fitzpatrick IV–VI) to absorb higher blue/green light, falsely mimicking pallor unless mathematically normalized against surrounding tissue.</w:t>
      </w:r>
    </w:p>
    <w:p>
      <w:pPr>
        <w:pStyle w:val="ListBullet"/>
        <w:spacing w:before="0" w:after="60" w:line="260" w:lineRule="exact"/>
      </w:pPr>
      <w:r>
        <w:rPr>
          <w:rFonts w:ascii="Palatino Linotype" w:hAnsi="Palatino Linotype"/>
          <w:b/>
          <w:color w:val="2D3748"/>
          <w:sz w:val="20"/>
        </w:rPr>
        <w:t xml:space="preserve">2. The Ambient Lighting Trap: </w:t>
      </w:r>
      <w:r>
        <w:rPr>
          <w:rFonts w:ascii="Palatino Linotype" w:hAnsi="Palatino Linotype"/>
          <w:color w:val="2D3748"/>
          <w:sz w:val="20"/>
        </w:rPr>
        <w:t>Photos taken under fluorescent clinic bulbs vs. outdoor tropical sunlight shift RGB channels by 30–50%. Without an anatomical reference (like the white sclera), raw pixel color is unreliable.</w:t>
      </w:r>
    </w:p>
    <w:p>
      <w:pPr>
        <w:pStyle w:val="ListBullet"/>
        <w:spacing w:before="0" w:after="60" w:line="260" w:lineRule="exact"/>
      </w:pPr>
      <w:r>
        <w:rPr>
          <w:rFonts w:ascii="Palatino Linotype" w:hAnsi="Palatino Linotype"/>
          <w:b/>
          <w:color w:val="2D3748"/>
          <w:sz w:val="20"/>
        </w:rPr>
        <w:t xml:space="preserve">3. The Single-Site Failure Mode: </w:t>
      </w:r>
      <w:r>
        <w:rPr>
          <w:rFonts w:ascii="Palatino Linotype" w:hAnsi="Palatino Linotype"/>
          <w:color w:val="2D3748"/>
          <w:sz w:val="20"/>
        </w:rPr>
        <w:t>Eye-only apps fail during conjunctivitis, environmental smoke, or jaundice; nail-only apps fail during cold vasoconstriction or nail trauma. Neither site alone is clinically robust.</w:t>
      </w:r>
    </w:p>
    <w:p>
      <w:pPr>
        <w:pStyle w:val="ListBullet"/>
        <w:spacing w:before="0" w:after="60" w:line="260" w:lineRule="exact"/>
      </w:pPr>
      <w:r>
        <w:rPr>
          <w:rFonts w:ascii="Palatino Linotype" w:hAnsi="Palatino Linotype"/>
          <w:b/>
          <w:color w:val="2D3748"/>
          <w:sz w:val="20"/>
        </w:rPr>
        <w:t xml:space="preserve">4. The Consumables Trap: </w:t>
      </w:r>
      <w:r>
        <w:rPr>
          <w:rFonts w:ascii="Palatino Linotype" w:hAnsi="Palatino Linotype"/>
          <w:color w:val="2D3748"/>
          <w:sz w:val="20"/>
        </w:rPr>
        <w:t>Rural clinics receive donated invasive meters (HemoCue), but cannot afford recurring disposable microcuvettes (₱100/test), leaving devices sitting idle in storage.</w:t>
      </w:r>
    </w:p>
    <w:p>
      <w:pPr>
        <w:spacing w:before="280" w:after="120"/>
      </w:pPr>
      <w:r>
        <w:rPr>
          <w:rFonts w:ascii="Arial" w:hAnsi="Arial"/>
          <w:b/>
          <w:color w:val="1A365D"/>
          <w:sz w:val="26"/>
        </w:rPr>
        <w:t>4. TinginHB Strategic Moat (PSC XI Value Proposition)</w:t>
      </w:r>
    </w:p>
    <w:p>
      <w:pPr>
        <w:pStyle w:val="ListBullet"/>
        <w:spacing w:before="0" w:after="60" w:line="260" w:lineRule="exact"/>
      </w:pPr>
      <w:r>
        <w:rPr>
          <w:rFonts w:ascii="Palatino Linotype" w:hAnsi="Palatino Linotype"/>
          <w:b/>
          <w:color w:val="2D3748"/>
          <w:sz w:val="20"/>
        </w:rPr>
        <w:t xml:space="preserve">Dual-Site Cross-Referenced Fusion (Eye + Nail): </w:t>
      </w:r>
      <w:r>
        <w:rPr>
          <w:rFonts w:ascii="Palatino Linotype" w:hAnsi="Palatino Linotype"/>
          <w:color w:val="2D3748"/>
          <w:sz w:val="20"/>
        </w:rPr>
        <w:t>Combines melanin-free palpebral conjunctiva with self-referenced subungual nail bed colorimetry. If a patient has ocular redness or cold hands, an automated discrepancy check (|y_conj - y_nail| &gt; delta) down-weights the anomalous site or alerts the healthcare worker, preventing misdiagnosis.</w:t>
      </w:r>
    </w:p>
    <w:p>
      <w:pPr>
        <w:pStyle w:val="ListBullet"/>
        <w:spacing w:before="0" w:after="60" w:line="260" w:lineRule="exact"/>
      </w:pPr>
      <w:r>
        <w:rPr>
          <w:rFonts w:ascii="Palatino Linotype" w:hAnsi="Palatino Linotype"/>
          <w:b/>
          <w:color w:val="2D3748"/>
          <w:sz w:val="20"/>
        </w:rPr>
        <w:t xml:space="preserve">Anatomical Self-Referencing (No Physical Cards): </w:t>
      </w:r>
      <w:r>
        <w:rPr>
          <w:rFonts w:ascii="Palatino Linotype" w:hAnsi="Palatino Linotype"/>
          <w:color w:val="2D3748"/>
          <w:sz w:val="20"/>
        </w:rPr>
        <w:t>Uses the patient's own white sclera as an internal white-balance anchor for conjunctiva, and the periungual skin ring to divide out baseline dermal melanin, eliminating physical calibration cards.</w:t>
      </w:r>
    </w:p>
    <w:p>
      <w:pPr>
        <w:pStyle w:val="ListBullet"/>
        <w:spacing w:before="0" w:after="60" w:line="260" w:lineRule="exact"/>
      </w:pPr>
      <w:r>
        <w:rPr>
          <w:rFonts w:ascii="Palatino Linotype" w:hAnsi="Palatino Linotype"/>
          <w:b/>
          <w:color w:val="2D3748"/>
          <w:sz w:val="20"/>
        </w:rPr>
        <w:t xml:space="preserve">Demographic Calibration for Filipino Skin (Fitzpatrick III–V): </w:t>
      </w:r>
      <w:r>
        <w:rPr>
          <w:rFonts w:ascii="Palatino Linotype" w:hAnsi="Palatino Linotype"/>
          <w:color w:val="2D3748"/>
          <w:sz w:val="20"/>
        </w:rPr>
        <w:t>Trained and cross-validated on intermediate-melanin benchmarks (AnaeCare Peru, Ghana cohorts, and local Philippine clinical data) to eliminate Caucasian training bias.</w:t>
      </w:r>
    </w:p>
    <w:p>
      <w:pPr>
        <w:pStyle w:val="ListBullet"/>
        <w:spacing w:before="0" w:after="60" w:line="260" w:lineRule="exact"/>
      </w:pPr>
      <w:r>
        <w:rPr>
          <w:rFonts w:ascii="Palatino Linotype" w:hAnsi="Palatino Linotype"/>
          <w:b/>
          <w:color w:val="2D3748"/>
          <w:sz w:val="20"/>
        </w:rPr>
        <w:t xml:space="preserve">₱0.00 Marginal Cost &amp; Zero Biohazard Waste: </w:t>
      </w:r>
      <w:r>
        <w:rPr>
          <w:rFonts w:ascii="Palatino Linotype" w:hAnsi="Palatino Linotype"/>
          <w:color w:val="2D3748"/>
          <w:sz w:val="20"/>
        </w:rPr>
        <w:t>Runs on commodity Android phones already owned by Barangay Health Workers (BHWs). Eliminates microcuvette supply-chain dependency and sharps disposal logistics.</w:t>
      </w:r>
    </w:p>
    <w:p>
      <w:pPr>
        <w:pStyle w:val="ListBullet"/>
        <w:spacing w:before="0" w:after="60" w:line="260" w:lineRule="exact"/>
      </w:pPr>
      <w:r>
        <w:rPr>
          <w:rFonts w:ascii="Palatino Linotype" w:hAnsi="Palatino Linotype"/>
          <w:b/>
          <w:color w:val="2D3748"/>
          <w:sz w:val="20"/>
        </w:rPr>
        <w:t xml:space="preserve">100% Offline Edge Inference for GIDA Barangays: </w:t>
      </w:r>
      <w:r>
        <w:rPr>
          <w:rFonts w:ascii="Palatino Linotype" w:hAnsi="Palatino Linotype"/>
          <w:color w:val="2D3748"/>
          <w:sz w:val="20"/>
        </w:rPr>
        <w:t>Entire quantized TFLite pipeline (YOLOv8n-seg ROI segmentation + MobileNetV3 dual-branch regression) executes on-device in &lt; 400 ms on ₱5,000 Android phones without cellular reception.</w:t>
      </w:r>
    </w:p>
    <w:p>
      <w:pPr>
        <w:pStyle w:val="ListBullet"/>
        <w:spacing w:before="0" w:after="60" w:line="260" w:lineRule="exact"/>
      </w:pPr>
      <w:r>
        <w:rPr>
          <w:rFonts w:ascii="Palatino Linotype" w:hAnsi="Palatino Linotype"/>
          <w:b/>
          <w:color w:val="2D3748"/>
          <w:sz w:val="20"/>
        </w:rPr>
        <w:t xml:space="preserve">Clear Regulatory Positioning as Community Triage Filter: </w:t>
      </w:r>
      <w:r>
        <w:rPr>
          <w:rFonts w:ascii="Palatino Linotype" w:hAnsi="Palatino Linotype"/>
          <w:color w:val="2D3748"/>
          <w:sz w:val="20"/>
        </w:rPr>
        <w:t>Pitched not as a direct replacement for hospital venous CBC, but as an objective community pre-screening filter to empower BHWs during house-to-house visits, routing high-risk individuals to Rural Health Units.</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