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56"/>
        </w:rPr>
        <w:t>TinginHB</w:t>
      </w:r>
    </w:p>
    <w:p>
      <w:pPr>
        <w:jc w:val="center"/>
      </w:pPr>
      <w:r>
        <w:rPr>
          <w:b/>
          <w:color w:val="24769A"/>
          <w:sz w:val="32"/>
        </w:rPr>
        <w:t>Methodology and Research Plan</w:t>
      </w:r>
    </w:p>
    <w:p/>
    <w:p>
      <w:pPr>
        <w:jc w:val="center"/>
      </w:pPr>
      <w:r>
        <w:rPr>
          <w:sz w:val="22"/>
        </w:rPr>
        <w:t>Non-Invasive Dual-Site AI Anemia Screening for Community Health Settings</w:t>
        <w:br/>
      </w:r>
    </w:p>
    <w:p>
      <w:pPr>
        <w:jc w:val="center"/>
      </w:pPr>
      <w:r>
        <w:rPr>
          <w:i/>
          <w:color w:val="358EBE"/>
          <w:sz w:val="20"/>
        </w:rPr>
        <w:t>DataLunas  |  University of Science and Technology of Southern Philippines</w:t>
        <w:br/>
        <w:t>Philippine Startup Challenge XI  |  October 2026</w:t>
      </w:r>
    </w:p>
    <w:p>
      <w:r>
        <w:br w:type="page"/>
      </w:r>
    </w:p>
    <w:p>
      <w:pPr>
        <w:spacing w:before="280" w:after="80"/>
      </w:pPr>
      <w:r>
        <w:rPr>
          <w:b/>
          <w:color w:val="1A5676"/>
          <w:sz w:val="28"/>
        </w:rPr>
        <w:t>Preface: Responding to Mentor Directives</w:t>
      </w:r>
    </w:p>
    <w:p>
      <w:pPr>
        <w:spacing w:before="40" w:after="80"/>
        <w:jc w:val="both"/>
      </w:pPr>
      <w:r>
        <w:rPr>
          <w:i w:val="0"/>
          <w:sz w:val="21"/>
        </w:rPr>
        <w:t>This document directly addresses three critical directives raised by the project mentor:</w:t>
      </w:r>
    </w:p>
    <w:p>
      <w:pPr>
        <w:pStyle w:val="ListBullet"/>
        <w:spacing w:before="20" w:after="20"/>
      </w:pPr>
      <w:r>
        <w:rPr>
          <w:sz w:val="21"/>
        </w:rPr>
        <w:t>Address Limitations &amp; Reliability — Model reliability constraints are explicitly discussed; output is reframed as a probabilistic likelihood score rather than a definitive Hb value or binary classification.</w:t>
      </w:r>
    </w:p>
    <w:p>
      <w:pPr>
        <w:pStyle w:val="ListBullet"/>
        <w:spacing w:before="20" w:after="20"/>
      </w:pPr>
      <w:r>
        <w:rPr>
          <w:sz w:val="21"/>
        </w:rPr>
        <w:t>Ground in Literature &amp; Figures — Every design choice is backed by peer-reviewed research with concrete performance metrics.</w:t>
      </w:r>
    </w:p>
    <w:p>
      <w:pPr>
        <w:pStyle w:val="ListBullet"/>
        <w:spacing w:before="20" w:after="20"/>
      </w:pPr>
      <w:r>
        <w:rPr>
          <w:sz w:val="21"/>
        </w:rPr>
        <w:t>Refine the Multi-Indicator Approach — Conjunctiva serves as the primary site; nail bed as the secondary site; integration is weighted by literature-validated site reliability and calibrated confidence estimates.</w:t>
      </w:r>
    </w:p>
    <w:p>
      <w:pPr>
        <w:spacing w:before="280" w:after="80"/>
      </w:pPr>
      <w:r>
        <w:rPr>
          <w:b/>
          <w:color w:val="1A5676"/>
          <w:sz w:val="28"/>
        </w:rPr>
        <w:t>1. Problem Definition and Clinical Context</w:t>
      </w:r>
    </w:p>
    <w:p>
      <w:pPr>
        <w:spacing w:before="200" w:after="80"/>
      </w:pPr>
      <w:r>
        <w:rPr>
          <w:b/>
          <w:color w:val="24769A"/>
          <w:sz w:val="24"/>
        </w:rPr>
        <w:t>1.1 Anemia Burden in the Philippines</w:t>
      </w:r>
    </w:p>
    <w:p>
      <w:pPr>
        <w:spacing w:before="40" w:after="80"/>
        <w:jc w:val="both"/>
      </w:pPr>
      <w:r>
        <w:rPr>
          <w:i w:val="0"/>
          <w:sz w:val="21"/>
        </w:rPr>
        <w:t>Anemia affects approximately 28% of Filipino women of reproductive age and 26.4% of children under five, based on the Philippine National Nutrition Survey (NNS 2018–2019, FNRI-DOST). The WHO definition of anemia in non-pregnant adults is hemoglobin (Hb) &lt; 12.0 g/dL for women and &lt; 13.0 g/dL for men, subdivided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WHO Severity Tier</w:t>
            </w:r>
          </w:p>
        </w:tc>
        <w:tc>
          <w:tcPr>
            <w:tcW w:type="dxa" w:w="4535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Hb Range (g/dL) — Adult Women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Mild Anemia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11.0 – 11.9</w:t>
            </w:r>
          </w:p>
        </w:tc>
      </w:tr>
      <w:tr>
        <w:tc>
          <w:tcPr>
            <w:tcW w:type="dxa" w:w="4535"/>
            <w:shd w:val="clear" w:color="auto" w:fill="E8F4F8"/>
          </w:tcPr>
          <w:p>
            <w:r>
              <w:rPr>
                <w:sz w:val="19"/>
              </w:rPr>
              <w:t>Moderate Anemia</w:t>
            </w:r>
          </w:p>
        </w:tc>
        <w:tc>
          <w:tcPr>
            <w:tcW w:type="dxa" w:w="4535"/>
            <w:shd w:val="clear" w:color="auto" w:fill="E8F4F8"/>
          </w:tcPr>
          <w:p>
            <w:r>
              <w:rPr>
                <w:sz w:val="19"/>
              </w:rPr>
              <w:t>8.0 – 10.9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Severe Anemia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&lt; 8.0</w:t>
            </w:r>
          </w:p>
        </w:tc>
      </w:tr>
      <w:tr>
        <w:tc>
          <w:tcPr>
            <w:tcW w:type="dxa" w:w="4535"/>
            <w:shd w:val="clear" w:color="auto" w:fill="E8F4F8"/>
          </w:tcPr>
          <w:p>
            <w:r>
              <w:rPr>
                <w:sz w:val="19"/>
              </w:rPr>
              <w:t>Normal</w:t>
            </w:r>
          </w:p>
        </w:tc>
        <w:tc>
          <w:tcPr>
            <w:tcW w:type="dxa" w:w="4535"/>
            <w:shd w:val="clear" w:color="auto" w:fill="E8F4F8"/>
          </w:tcPr>
          <w:p>
            <w:r>
              <w:rPr>
                <w:sz w:val="19"/>
              </w:rPr>
              <w:t>≥ 12.0</w:t>
            </w:r>
          </w:p>
        </w:tc>
      </w:tr>
    </w:tbl>
    <w:p/>
    <w:p>
      <w:pPr>
        <w:spacing w:before="40" w:after="80"/>
        <w:jc w:val="both"/>
      </w:pPr>
      <w:r>
        <w:rPr>
          <w:i/>
          <w:sz w:val="21"/>
        </w:rPr>
        <w:t>(WHO, 2011. Haemoglobin concentrations for the diagnosis of anaemia and assessment of severity.)</w:t>
      </w:r>
    </w:p>
    <w:p>
      <w:pPr>
        <w:spacing w:before="200" w:after="80"/>
      </w:pPr>
      <w:r>
        <w:rPr>
          <w:b/>
          <w:color w:val="24769A"/>
          <w:sz w:val="24"/>
        </w:rPr>
        <w:t>1.2 Screening Gap and the Role of BHWs</w:t>
      </w:r>
    </w:p>
    <w:p>
      <w:pPr>
        <w:spacing w:before="40" w:after="80"/>
        <w:jc w:val="both"/>
      </w:pPr>
      <w:r>
        <w:rPr>
          <w:i w:val="0"/>
          <w:sz w:val="21"/>
        </w:rPr>
        <w:t>Access to Complete Blood Count (CBC) is constrained in rural Philippine barangays. A CBC costs ₱200–₱600 and requires a trained phlebotomist, centrifuge, and hematology analyzer — infrastructure absent at barangay health stations. Barangay Health Workers (BHWs) perform frontline screening using clinical signs: conjunctival and palmar pallor, primarily under the WHO Integrated Management of Childhood Illness (IMCI) framework (WHO, 2013).</w:t>
      </w:r>
    </w:p>
    <w:p>
      <w:pPr>
        <w:spacing w:before="40" w:after="80"/>
        <w:jc w:val="both"/>
      </w:pPr>
      <w:r>
        <w:rPr>
          <w:i w:val="0"/>
          <w:sz w:val="21"/>
        </w:rPr>
        <w:t>TinginHB's Clinical Niche: TinginHB does NOT claim to replace CBC. Its niche is rapid triage at the community level — identifying individuals likely to have moderate-to-severe anemia who should be prioritized for CBC confirmation and treatment. This positions TinginHB as a decision-support tool, not a diagnostic device.</w:t>
      </w:r>
    </w:p>
    <w:p>
      <w:pPr>
        <w:spacing w:before="280" w:after="80"/>
      </w:pPr>
      <w:r>
        <w:rPr>
          <w:b/>
          <w:color w:val="1A5676"/>
          <w:sz w:val="28"/>
        </w:rPr>
        <w:t>2. Scientific Basis for Physical Indicator Selection</w:t>
      </w:r>
    </w:p>
    <w:p>
      <w:pPr>
        <w:spacing w:before="200" w:after="80"/>
      </w:pPr>
      <w:r>
        <w:rPr>
          <w:b/>
          <w:color w:val="24769A"/>
          <w:sz w:val="24"/>
        </w:rPr>
        <w:t>2.1 Palpebral Conjunctiva as Primary Indicator</w:t>
      </w:r>
    </w:p>
    <w:p>
      <w:pPr>
        <w:spacing w:before="40" w:after="80"/>
        <w:jc w:val="both"/>
      </w:pPr>
      <w:r>
        <w:rPr>
          <w:i w:val="0"/>
          <w:sz w:val="21"/>
        </w:rPr>
        <w:t>The palpebral (inner eyelid) conjunctiva is the most scientifically supported non-invasive site for anemia screening.</w:t>
      </w:r>
    </w:p>
    <w:p>
      <w:pPr>
        <w:spacing w:before="200" w:after="80"/>
      </w:pPr>
      <w:r>
        <w:rPr>
          <w:b/>
          <w:color w:val="358EBE"/>
          <w:sz w:val="22"/>
        </w:rPr>
        <w:t>Biological Rationale</w:t>
      </w:r>
    </w:p>
    <w:p>
      <w:pPr>
        <w:pStyle w:val="ListBullet"/>
        <w:spacing w:before="20" w:after="20"/>
      </w:pPr>
      <w:r>
        <w:rPr>
          <w:sz w:val="21"/>
        </w:rPr>
        <w:t>The conjunctival epithelium is devoid of melanocytes, eliminating the primary confounder in skin-based pallor assessment (Fitzpatrick skin tone confound) (Stolz et al., 1993).</w:t>
      </w:r>
    </w:p>
    <w:p>
      <w:pPr>
        <w:pStyle w:val="ListBullet"/>
        <w:spacing w:before="20" w:after="20"/>
      </w:pPr>
      <w:r>
        <w:rPr>
          <w:sz w:val="21"/>
        </w:rPr>
        <w:t>Hemoglobin's optical absorption peaks at 540 nm and 576 nm (green-yellow spectrum) are directly observable through the translucent conjunctival membrane (Prahl, 1999).</w:t>
      </w:r>
    </w:p>
    <w:p>
      <w:pPr>
        <w:pStyle w:val="ListBullet"/>
        <w:spacing w:before="20" w:after="20"/>
      </w:pPr>
      <w:r>
        <w:rPr>
          <w:sz w:val="21"/>
        </w:rPr>
        <w:t>The sclera, visible in the same image frame, provides an in-frame white-balance reference — a critical advantage over isolated skin patches.</w:t>
      </w:r>
    </w:p>
    <w:p>
      <w:pPr>
        <w:spacing w:before="200" w:after="80"/>
      </w:pPr>
      <w:r>
        <w:rPr>
          <w:b/>
          <w:color w:val="358EBE"/>
          <w:sz w:val="22"/>
        </w:rPr>
        <w:t>Empirical Performance (Key Prior 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Study</w:t>
            </w:r>
          </w:p>
        </w:tc>
        <w:tc>
          <w:tcPr>
            <w:tcW w:type="dxa" w:w="3402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3969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Metric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Kim et al. (2020, PNAS)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HemaChrome — conjunctiva only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Sensitivity 91.4% (Hb &lt; 8.0 g/dL); 62.1% mild (10–11.9 g/dL)</w:t>
            </w:r>
          </w:p>
        </w:tc>
      </w:tr>
      <w:tr>
        <w:tc>
          <w:tcPr>
            <w:tcW w:type="dxa" w:w="2835"/>
            <w:shd w:val="clear" w:color="auto" w:fill="E8F4F8"/>
          </w:tcPr>
          <w:p>
            <w:r>
              <w:rPr>
                <w:sz w:val="19"/>
              </w:rPr>
              <w:t>Kim et al. (2023, Ann Intern Med)</w:t>
            </w:r>
          </w:p>
        </w:tc>
        <w:tc>
          <w:tcPr>
            <w:tcW w:type="dxa" w:w="3402"/>
            <w:shd w:val="clear" w:color="auto" w:fill="E8F4F8"/>
          </w:tcPr>
          <w:p>
            <w:r>
              <w:rPr>
                <w:sz w:val="19"/>
              </w:rPr>
              <w:t>Extended validation, n=153</w:t>
            </w:r>
          </w:p>
        </w:tc>
        <w:tc>
          <w:tcPr>
            <w:tcW w:type="dxa" w:w="3969"/>
            <w:shd w:val="clear" w:color="auto" w:fill="E8F4F8"/>
          </w:tcPr>
          <w:p>
            <w:r>
              <w:rPr>
                <w:sz w:val="19"/>
              </w:rPr>
              <w:t>Pearson r = 0.90 for Hb &lt; 10.0 g/dL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Dimauro et al. (2018)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EYES-DEFY-ANEMIA dataset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EI explains ~37% of Hb variance (R² ≈ 0.37)</w:t>
            </w:r>
          </w:p>
        </w:tc>
      </w:tr>
      <w:tr>
        <w:tc>
          <w:tcPr>
            <w:tcW w:type="dxa" w:w="2835"/>
            <w:shd w:val="clear" w:color="auto" w:fill="E8F4F8"/>
          </w:tcPr>
          <w:p>
            <w:r>
              <w:rPr>
                <w:sz w:val="19"/>
              </w:rPr>
              <w:t>Suner et al. (2007)</w:t>
            </w:r>
          </w:p>
        </w:tc>
        <w:tc>
          <w:tcPr>
            <w:tcW w:type="dxa" w:w="3402"/>
            <w:shd w:val="clear" w:color="auto" w:fill="E8F4F8"/>
          </w:tcPr>
          <w:p>
            <w:r>
              <w:rPr>
                <w:sz w:val="19"/>
              </w:rPr>
              <w:t>Conjunctival pallor specificity</w:t>
            </w:r>
          </w:p>
        </w:tc>
        <w:tc>
          <w:tcPr>
            <w:tcW w:type="dxa" w:w="3969"/>
            <w:shd w:val="clear" w:color="auto" w:fill="E8F4F8"/>
          </w:tcPr>
          <w:p>
            <w:r>
              <w:rPr>
                <w:sz w:val="19"/>
              </w:rPr>
              <w:t>83.3% specificity at Hb &lt; 9.0 g/dL; 49% at Hb &lt; 11.0 g/dL</w:t>
            </w:r>
          </w:p>
        </w:tc>
      </w:tr>
    </w:tbl>
    <w:p/>
    <w:p>
      <w:pPr>
        <w:spacing w:before="200" w:after="80"/>
      </w:pPr>
      <w:r>
        <w:rPr>
          <w:b/>
          <w:color w:val="24769A"/>
          <w:sz w:val="24"/>
        </w:rPr>
        <w:t>2.2 Nail Bed as Secondary Indicator</w:t>
      </w:r>
    </w:p>
    <w:p>
      <w:pPr>
        <w:spacing w:before="40" w:after="80"/>
        <w:jc w:val="both"/>
      </w:pPr>
      <w:r>
        <w:rPr>
          <w:i w:val="0"/>
          <w:sz w:val="21"/>
        </w:rPr>
        <w:t>The nail bed contains a subungual capillary plexus visible through the translucent nail plate. Unlike palmar skin, the nail plate is relatively uniform in thickness, reducing inter-subject variability in light transmission. Key limitation: periungual skin contains melanin and requires normalization (Mannino et al., 2018).</w:t>
      </w:r>
    </w:p>
    <w:p>
      <w:pPr>
        <w:spacing w:before="200" w:after="80"/>
      </w:pPr>
      <w:r>
        <w:rPr>
          <w:b/>
          <w:color w:val="358EBE"/>
          <w:sz w:val="22"/>
        </w:rPr>
        <w:t>Periungual Normalization — Contrast Ratio Method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sz w:val="18"/>
        </w:rPr>
        <w:t>CR = (Nail_G - Periungual_G) / (Nail_G + Periungual_G)</w:t>
        <w:br/>
        <w:br/>
        <w:t>where G = green channel intensity (most sensitive to Hb absorption at 540 nm)</w:t>
      </w:r>
    </w:p>
    <w:p>
      <w:pPr>
        <w:spacing w:before="200" w:after="80"/>
      </w:pPr>
      <w:r>
        <w:rPr>
          <w:b/>
          <w:color w:val="358EBE"/>
          <w:sz w:val="22"/>
        </w:rPr>
        <w:t>Empirical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Study</w:t>
            </w:r>
          </w:p>
        </w:tc>
        <w:tc>
          <w:tcPr>
            <w:tcW w:type="dxa" w:w="311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3969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Metric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Mannino et al. (2018, Nat. Commun.)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Sanguina — fingernail only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MAE 1.47 g/dL (no personalization); 95% LoA ±2.4 g/dL; r = 0.87</w:t>
            </w:r>
          </w:p>
        </w:tc>
      </w:tr>
      <w:tr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Valles-Coral et al. (2025, arXiv)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AnaeCare — nails+palms+fingertips</w:t>
            </w:r>
          </w:p>
        </w:tc>
        <w:tc>
          <w:tcPr>
            <w:tcW w:type="dxa" w:w="3969"/>
            <w:shd w:val="clear" w:color="auto" w:fill="E8F4F8"/>
          </w:tcPr>
          <w:p>
            <w:r>
              <w:rPr>
                <w:sz w:val="19"/>
              </w:rPr>
              <w:t>Macro F1 = 0.78; Mild-class F1 = 0.52 (n=909)</w:t>
            </w:r>
          </w:p>
        </w:tc>
      </w:tr>
    </w:tbl>
    <w:p/>
    <w:p>
      <w:pPr>
        <w:spacing w:before="200" w:after="80"/>
      </w:pPr>
      <w:r>
        <w:rPr>
          <w:b/>
          <w:color w:val="24769A"/>
          <w:sz w:val="24"/>
        </w:rPr>
        <w:t>2.3 Why Physical Indicators Are Reliable Only for Moderate-to-Severe Anemia</w:t>
      </w:r>
    </w:p>
    <w:p>
      <w:pPr>
        <w:spacing w:before="40" w:after="80"/>
        <w:jc w:val="both"/>
      </w:pPr>
      <w:r>
        <w:rPr>
          <w:i w:val="0"/>
          <w:sz w:val="21"/>
        </w:rPr>
        <w:t>Both conjunctival and nail-bed pallor indicators share a fundamental biological limitation: pallor becomes visually detectable only after Hb drops below approximately 9.0–10.0 g/dL (Kalter et al., 1997; Luby et al., 1995). This occurs because (1) RGB camera sensors cannot distinguish the subtle color shift between Hb 12.0 g/dL and 11.0 g/dL under variable ambient lighting, and (2) physiological compensatory mechanisms (increased 2,3-DPG, vasodilation) maintain capillary perfusion at mildly reduced Hb, masking visible pallor.</w:t>
      </w:r>
    </w:p>
    <w:p>
      <w:pPr>
        <w:spacing w:before="40" w:after="80"/>
        <w:jc w:val="both"/>
      </w:pPr>
      <w:r>
        <w:rPr>
          <w:i w:val="0"/>
          <w:sz w:val="21"/>
        </w:rPr>
        <w:t>Explicit boundary: TinginHB targets a clinically actionable threshold of Hb &lt; 10.0 g/dL (moderate anemia). Mild anemia (11.0–11.9 g/dL) is explicitly acknowledged as below the reliable detection threshold of the current technology — consistent with best-in-class systems (Kim et al., 2023; Mannino et al., 2018).</w:t>
      </w:r>
    </w:p>
    <w:p>
      <w:pPr>
        <w:spacing w:before="200" w:after="80"/>
      </w:pPr>
      <w:r>
        <w:rPr>
          <w:b/>
          <w:color w:val="24769A"/>
          <w:sz w:val="24"/>
        </w:rPr>
        <w:t>2.4 Secondary Physical and Physiological Indicators in Clinical Literature</w:t>
      </w:r>
    </w:p>
    <w:p>
      <w:pPr>
        <w:spacing w:before="40" w:after="80"/>
        <w:jc w:val="both"/>
      </w:pPr>
      <w:r>
        <w:rPr>
          <w:i w:val="0"/>
          <w:sz w:val="21"/>
        </w:rPr>
        <w:t>In response to the mentor's directive to explore literature-backed secondary physical signs, the clinical evidence base highlights three secondary modalities that complement ocular and ungual inspection:</w:t>
      </w:r>
    </w:p>
    <w:p>
      <w:pPr>
        <w:pStyle w:val="ListBullet"/>
        <w:spacing w:before="20" w:after="20"/>
      </w:pPr>
      <w:r>
        <w:rPr>
          <w:sz w:val="21"/>
        </w:rPr>
        <w:t>Palmar Pallor &amp; Crease Blanching (WHO IMCI, 2013): Blood vessels in the palmar fascia and thenar eminence reflect systemic perfusion. Normal palmar creases retain pigmentation down to Hb ~7.0–8.0 g/dL; blanching of the creases provides an LR+ of 2.8–3.2 for severe anemia (Strobach et al., 1988; Luby et al., 1995).</w:t>
      </w:r>
    </w:p>
    <w:p>
      <w:pPr>
        <w:pStyle w:val="ListBullet"/>
        <w:spacing w:before="20" w:after="20"/>
      </w:pPr>
      <w:r>
        <w:rPr>
          <w:sz w:val="21"/>
        </w:rPr>
        <w:t>Lingual &amp; Oral Mucosal Pallor: Devoid of stratum corneum and melanin, oral mucosa provides direct capillary beds (Sheth et al., 2017; LR+ ≈ 2.1). Reserved as an optional module due to field infection control/hygiene constraints.</w:t>
      </w:r>
    </w:p>
    <w:p>
      <w:pPr>
        <w:pStyle w:val="ListBullet"/>
        <w:spacing w:before="20" w:after="20"/>
      </w:pPr>
      <w:r>
        <w:rPr>
          <w:sz w:val="21"/>
        </w:rPr>
        <w:t>Compensatory Resting Tachycardia via Smartphone Camera PPG: Anemic hypoxia induces compensatory elevation in cardiac output via resting tachycardia (HR &gt; 100 bpm; LR+ ≈ 1.8–2.0) (Strobach et al., 1988; Duke &amp; Abelmann, 1969). A smartphone camera with LED flash acts as a 15-second Photoplethysmography (PPG) pulse sensor without extra hardware (Allen, 2007).</w:t>
      </w:r>
    </w:p>
    <w:p>
      <w:pPr>
        <w:pStyle w:val="ListBullet"/>
        <w:spacing w:before="20" w:after="20"/>
      </w:pPr>
      <w:r>
        <w:rPr>
          <w:sz w:val="21"/>
        </w:rPr>
        <w:t>Clinical Risk Covariates: Structured questionnaire covering pregnancy, lactation, menorrhagia, and dietary history, establishing the Bayesian prior probability P(Anemia) (Kalter et al., 1997).</w:t>
      </w:r>
    </w:p>
    <w:p>
      <w:pPr>
        <w:spacing w:before="280" w:after="80"/>
      </w:pPr>
      <w:r>
        <w:rPr>
          <w:b/>
          <w:color w:val="1A5676"/>
          <w:sz w:val="28"/>
        </w:rPr>
        <w:t>3. Probabilistic Output Framework</w:t>
      </w:r>
    </w:p>
    <w:p>
      <w:pPr>
        <w:spacing w:before="200" w:after="80"/>
      </w:pPr>
      <w:r>
        <w:rPr>
          <w:b/>
          <w:color w:val="24769A"/>
          <w:sz w:val="24"/>
        </w:rPr>
        <w:t>3.1 Why Hard Hb Regression is Insufficient</w:t>
      </w:r>
    </w:p>
    <w:p>
      <w:pPr>
        <w:spacing w:before="40" w:after="80"/>
        <w:jc w:val="both"/>
      </w:pPr>
      <w:r>
        <w:rPr>
          <w:i w:val="0"/>
          <w:sz w:val="21"/>
        </w:rPr>
        <w:t>The best published MAE for smartphone-based Hb estimation without personalization is 1.47 g/dL (Mannino et al., 2018). The WHO mild-anemia threshold margin is 1.0 g/dL (11.0–12.0 g/dL). A system with 1.47 g/dL MAE cannot reliably classify mild anemia. Reporting a hard Hb value of '11.2 g/dL' to a BHW creates false precision and clinical risk. A calibrated probability score is scientifically honest and clinically safer: 'There is a 74% likelihood this patient has moderate-to-severe anemia (Hb &lt; 10.0 g/dL). Refer for CBC.'</w:t>
      </w:r>
    </w:p>
    <w:p>
      <w:pPr>
        <w:spacing w:before="200" w:after="80"/>
      </w:pPr>
      <w:r>
        <w:rPr>
          <w:b/>
          <w:color w:val="24769A"/>
          <w:sz w:val="24"/>
        </w:rPr>
        <w:t>3.2 Proposed Probabilistic Output Architecture</w:t>
      </w:r>
    </w:p>
    <w:p>
      <w:pPr>
        <w:spacing w:before="200" w:after="80"/>
      </w:pPr>
      <w:r>
        <w:rPr>
          <w:b/>
          <w:color w:val="358EBE"/>
          <w:sz w:val="22"/>
        </w:rPr>
        <w:t>Step 1 — Site-Level Regression with Uncertainty (MC Dropout)</w:t>
      </w:r>
    </w:p>
    <w:p>
      <w:pPr>
        <w:spacing w:before="40" w:after="80"/>
        <w:jc w:val="both"/>
      </w:pPr>
      <w:r>
        <w:rPr>
          <w:i w:val="0"/>
          <w:sz w:val="21"/>
        </w:rPr>
        <w:t>Each image pipeline outputs a predicted Hb value AND an uncertainty estimate, using Monte Carlo Dropout (Gal &amp; Ghahramani, 2016, ICML) with N=50 forward passes: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sz w:val="18"/>
        </w:rPr>
        <w:t>ŷ_conj ± σ_conj     (conjunctiva pipeline)</w:t>
        <w:br/>
        <w:t>ŷ_nail ± σ_nail     (nail bed pipeline)</w:t>
      </w:r>
    </w:p>
    <w:p>
      <w:pPr>
        <w:spacing w:before="200" w:after="80"/>
      </w:pPr>
      <w:r>
        <w:rPr>
          <w:b/>
          <w:color w:val="358EBE"/>
          <w:sz w:val="22"/>
        </w:rPr>
        <w:t>Step 2 — Inverse-Variance Weighted Bayesian Fusion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sz w:val="18"/>
        </w:rPr>
        <w:t>w_conj = 1 / σ_conj²</w:t>
        <w:br/>
        <w:t>w_nail = 1 / σ_nail²</w:t>
        <w:br/>
        <w:br/>
        <w:t>ŷ_fused = (w_conj × ŷ_conj + w_nail × ŷ_nail) / (w_conj + w_nail)</w:t>
        <w:br/>
        <w:t>σ_fused² = 1 / (w_conj + w_nail)</w:t>
      </w:r>
    </w:p>
    <w:p>
      <w:pPr>
        <w:spacing w:before="40" w:after="80"/>
        <w:jc w:val="both"/>
      </w:pPr>
      <w:r>
        <w:rPr>
          <w:i w:val="0"/>
          <w:sz w:val="21"/>
        </w:rPr>
        <w:t>This assigns more weight to whichever site's pipeline is more confident. If conjunctival image quality is poor, σ_conj rises, and the nail bed pipeline automatically receives more weight — and vice versa. (Bishop, 2006, Pattern Recognition and Machine Learning, Ch. 2.)</w:t>
      </w:r>
    </w:p>
    <w:p>
      <w:pPr>
        <w:spacing w:before="200" w:after="80"/>
      </w:pPr>
      <w:r>
        <w:rPr>
          <w:b/>
          <w:color w:val="358EBE"/>
          <w:sz w:val="22"/>
        </w:rPr>
        <w:t>Step 3 — Calibrated WHO-Tier Probability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sz w:val="18"/>
        </w:rPr>
        <w:t>P(Moderate-Severe | image) = P(Hb &lt; 10.0 g/dL)</w:t>
        <w:br/>
        <w:t xml:space="preserve">                           = Φ((10.0 - ŷ_fused) / σ_fused)</w:t>
        <w:br/>
        <w:br/>
        <w:t>Where Φ = standard normal CDF</w:t>
      </w:r>
    </w:p>
    <w:p>
      <w:pPr>
        <w:spacing w:before="40" w:after="80"/>
        <w:jc w:val="both"/>
      </w:pPr>
      <w:r>
        <w:rPr>
          <w:i w:val="0"/>
          <w:sz w:val="21"/>
        </w:rPr>
        <w:t>The wider σ_fused is, the less extreme the probability — the model avoids overconfidence automatically.</w:t>
      </w:r>
    </w:p>
    <w:p>
      <w:pPr>
        <w:spacing w:before="200" w:after="80"/>
      </w:pPr>
      <w:r>
        <w:rPr>
          <w:b/>
          <w:color w:val="358EBE"/>
          <w:sz w:val="22"/>
        </w:rPr>
        <w:t>Step 4 — Post-Hoc Calibration (Platt Scaling)</w:t>
      </w:r>
    </w:p>
    <w:p>
      <w:pPr>
        <w:spacing w:before="40" w:after="80"/>
        <w:jc w:val="both"/>
      </w:pPr>
      <w:r>
        <w:rPr>
          <w:i w:val="0"/>
          <w:sz w:val="21"/>
        </w:rPr>
        <w:t>The raw probability output is calibrated on a held-out validation set using Platt Scaling (Platt, 1999), ensuring that when the model outputs P = 0.70, 70% of such patients in validation actually have Hb &lt; 10.0 g/dL. This satisfies the Expected Calibration Error (ECE) requirement (Guo et al., 2017, ICML).</w:t>
      </w:r>
    </w:p>
    <w:p>
      <w:pPr>
        <w:spacing w:before="200" w:after="80"/>
      </w:pPr>
      <w:r>
        <w:rPr>
          <w:b/>
          <w:color w:val="24769A"/>
          <w:sz w:val="24"/>
        </w:rPr>
        <w:t>3.3 User-Facing Output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Probability Range</w:t>
            </w:r>
          </w:p>
        </w:tc>
        <w:tc>
          <w:tcPr>
            <w:tcW w:type="dxa" w:w="311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Output Label</w:t>
            </w:r>
          </w:p>
        </w:tc>
        <w:tc>
          <w:tcPr>
            <w:tcW w:type="dxa" w:w="4535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BHW Action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 &lt; 0.25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🟢 Anemia Unlikely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Routine follow-up</w:t>
            </w:r>
          </w:p>
        </w:tc>
      </w:tr>
      <w:tr>
        <w:tc>
          <w:tcPr>
            <w:tcW w:type="dxa" w:w="2551"/>
            <w:shd w:val="clear" w:color="auto" w:fill="E8F4F8"/>
          </w:tcPr>
          <w:p>
            <w:r>
              <w:rPr>
                <w:sz w:val="19"/>
              </w:rPr>
              <w:t>0.25 ≤ P &lt; 0.55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🟡 Inconclusive — Recheck</w:t>
            </w:r>
          </w:p>
        </w:tc>
        <w:tc>
          <w:tcPr>
            <w:tcW w:type="dxa" w:w="4535"/>
            <w:shd w:val="clear" w:color="auto" w:fill="E8F4F8"/>
          </w:tcPr>
          <w:p>
            <w:r>
              <w:rPr>
                <w:sz w:val="19"/>
              </w:rPr>
              <w:t>Repeat scan or improve positioning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0.55 ≤ P &lt; 0.80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🟠 Possible Anemia — Refer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Refer to RHU for CBC</w:t>
            </w:r>
          </w:p>
        </w:tc>
      </w:tr>
      <w:tr>
        <w:tc>
          <w:tcPr>
            <w:tcW w:type="dxa" w:w="2551"/>
            <w:shd w:val="clear" w:color="auto" w:fill="E8F4F8"/>
          </w:tcPr>
          <w:p>
            <w:r>
              <w:rPr>
                <w:sz w:val="19"/>
              </w:rPr>
              <w:t>P ≥ 0.80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🔴 Likely Anemia — Urgent Referral</w:t>
            </w:r>
          </w:p>
        </w:tc>
        <w:tc>
          <w:tcPr>
            <w:tcW w:type="dxa" w:w="4535"/>
            <w:shd w:val="clear" w:color="auto" w:fill="E8F4F8"/>
          </w:tcPr>
          <w:p>
            <w:r>
              <w:rPr>
                <w:sz w:val="19"/>
              </w:rPr>
              <w:t>Immediate referral for CBC + treatment</w:t>
            </w:r>
          </w:p>
        </w:tc>
      </w:tr>
    </w:tbl>
    <w:p/>
    <w:p>
      <w:pPr>
        <w:spacing w:before="200" w:after="80"/>
      </w:pPr>
      <w:r>
        <w:rPr>
          <w:b/>
          <w:color w:val="24769A"/>
          <w:sz w:val="24"/>
        </w:rPr>
        <w:t>3.4 Multi-Indicator Weighting &amp; Integration Architecture</w:t>
      </w:r>
    </w:p>
    <w:p>
      <w:pPr>
        <w:spacing w:before="40" w:after="80"/>
        <w:jc w:val="both"/>
      </w:pPr>
      <w:r>
        <w:rPr>
          <w:i w:val="0"/>
          <w:sz w:val="21"/>
        </w:rPr>
        <w:t>To integrate secondary physical and physiological indicators with the primary optical channels without introducing noise, TinginHB employs a Two-Tiered Hierarchical Bayesian Integration Model backed by clinical likelihood ratios (Strobach et al., 1988; Kalter et al., 1997):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sz w:val="18"/>
        </w:rPr>
        <w:t>ln(Odds_post) = ln(Odds_prior) + w_conj*ln(LR_conj) + w_nail*ln(LR_nail) + w_palm*ln(LR_palm) + w_tachy*ln(LR_tachy)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Modality / Indicator</w:t>
            </w:r>
          </w:p>
        </w:tc>
        <w:tc>
          <w:tcPr>
            <w:tcW w:type="dxa" w:w="311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Diagnostic Metric</w:t>
            </w:r>
          </w:p>
        </w:tc>
        <w:tc>
          <w:tcPr>
            <w:tcW w:type="dxa" w:w="1417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Weight (w_i)</w:t>
            </w:r>
          </w:p>
        </w:tc>
        <w:tc>
          <w:tcPr>
            <w:tcW w:type="dxa" w:w="3685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Literature Grounding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Palpebral Conjunctiva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LR+ ≈ 4.4 (Sens: 85%, Spec: 81%)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w = 1.0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Primary optical driver; zero melanin (Strobach 1988; Kim 2020)</w:t>
            </w:r>
          </w:p>
        </w:tc>
      </w:tr>
      <w:tr>
        <w:tc>
          <w:tcPr>
            <w:tcW w:type="dxa" w:w="2551"/>
            <w:shd w:val="clear" w:color="auto" w:fill="E8F4F8"/>
          </w:tcPr>
          <w:p>
            <w:r>
              <w:rPr>
                <w:sz w:val="19"/>
              </w:rPr>
              <w:t>Subungual Nail Bed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LR+ ≈ 2.2 (Sens: 78%, Spec: 65%)</w:t>
            </w:r>
          </w:p>
        </w:tc>
        <w:tc>
          <w:tcPr>
            <w:tcW w:type="dxa" w:w="1417"/>
            <w:shd w:val="clear" w:color="auto" w:fill="E8F4F8"/>
          </w:tcPr>
          <w:p>
            <w:r>
              <w:rPr>
                <w:sz w:val="19"/>
              </w:rPr>
              <w:t>w = 0.8</w:t>
            </w:r>
          </w:p>
        </w:tc>
        <w:tc>
          <w:tcPr>
            <w:tcW w:type="dxa" w:w="3685"/>
            <w:shd w:val="clear" w:color="auto" w:fill="E8F4F8"/>
          </w:tcPr>
          <w:p>
            <w:r>
              <w:rPr>
                <w:sz w:val="19"/>
              </w:rPr>
              <w:t>Primary co-driver; CR-normalized (Mannino 2018)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Palmar Creases (Gated)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LR+ ≈ 2.9 (blanched creases)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w = 0.5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Secondary corroborator upon ambiguity (Kalter 1997; Luby 1995)</w:t>
            </w:r>
          </w:p>
        </w:tc>
      </w:tr>
      <w:tr>
        <w:tc>
          <w:tcPr>
            <w:tcW w:type="dxa" w:w="2551"/>
            <w:shd w:val="clear" w:color="auto" w:fill="E8F4F8"/>
          </w:tcPr>
          <w:p>
            <w:r>
              <w:rPr>
                <w:sz w:val="19"/>
              </w:rPr>
              <w:t>Resting Tachycardia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LR+ ≈ 1.9 (HR &gt; 100 bpm, resting)</w:t>
            </w:r>
          </w:p>
        </w:tc>
        <w:tc>
          <w:tcPr>
            <w:tcW w:type="dxa" w:w="1417"/>
            <w:shd w:val="clear" w:color="auto" w:fill="E8F4F8"/>
          </w:tcPr>
          <w:p>
            <w:r>
              <w:rPr>
                <w:sz w:val="19"/>
              </w:rPr>
              <w:t>w = 0.4</w:t>
            </w:r>
          </w:p>
        </w:tc>
        <w:tc>
          <w:tcPr>
            <w:tcW w:type="dxa" w:w="3685"/>
            <w:shd w:val="clear" w:color="auto" w:fill="E8F4F8"/>
          </w:tcPr>
          <w:p>
            <w:r>
              <w:rPr>
                <w:sz w:val="19"/>
              </w:rPr>
              <w:t>Compensatory cardiac output via 15s camera PPG (Allen 2007)</w:t>
            </w:r>
          </w:p>
        </w:tc>
      </w:tr>
    </w:tbl>
    <w:p/>
    <w:p>
      <w:pPr>
        <w:spacing w:before="40" w:after="80"/>
        <w:jc w:val="both"/>
      </w:pPr>
      <w:r>
        <w:rPr>
          <w:i w:val="0"/>
          <w:sz w:val="21"/>
        </w:rPr>
        <w:t>Tier 2 Gating Rule: Secondary checks (Palmar Crease scan, 15s camera PPG) are only activated if primary uncertainty σ_prim &gt; 1.2 g/dL or if primary discrepancy |ŷ_conj - ŷ_nail| &gt; 2.0 g/dL. This preserves fast BHW workflow while providing clinical resilience.</w:t>
      </w:r>
    </w:p>
    <w:p>
      <w:pPr>
        <w:spacing w:before="280" w:after="80"/>
      </w:pPr>
      <w:r>
        <w:rPr>
          <w:b/>
          <w:color w:val="1A5676"/>
          <w:sz w:val="28"/>
        </w:rPr>
        <w:t>4. System Architecture</w:t>
      </w:r>
    </w:p>
    <w:p>
      <w:pPr>
        <w:spacing w:before="200" w:after="80"/>
      </w:pPr>
      <w:r>
        <w:rPr>
          <w:b/>
          <w:color w:val="24769A"/>
          <w:sz w:val="24"/>
        </w:rPr>
        <w:t>4.1 Pipeline Overview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sz w:val="18"/>
        </w:rPr>
        <w:t>[Camera &amp; Sensor Inputs]</w:t>
        <w:br/>
        <w:t xml:space="preserve">  ├── TIER 1: PRIMARY SITES</w:t>
        <w:br/>
        <w:t xml:space="preserve">  │    ├── Conjunctiva Image ──► YOLOv8n-seg ROI ──► MobileNetV3-S + Radiomics ──► ŷ_conj ± σ_conj</w:t>
        <w:br/>
        <w:t xml:space="preserve">  │    └── Nail Bed Image ─────► YOLOv8n-seg ROI ──► MobileNetV3-S + CR Norm  ──► ŷ_nail ± σ_nail</w:t>
        <w:br/>
        <w:t xml:space="preserve">  │                                                                                  │</w:t>
        <w:br/>
        <w:t xml:space="preserve">  │                                                [Inverse-Variance Fusion &amp; Gating Rule]</w:t>
        <w:br/>
        <w:t xml:space="preserve">  │                                                                                  │</w:t>
        <w:br/>
        <w:t xml:space="preserve">  └── TIER 2: GATED SECONDARY SIGNS (Activated if σ &gt; 1.2 or Δ &gt; 2.0)                │</w:t>
        <w:br/>
        <w:t xml:space="preserve">       ├── Palmar Crease Image ──► YOLOv8n-seg ROI ──► MobileNetV3-S Feature ────────┤</w:t>
        <w:br/>
        <w:t xml:space="preserve">       ├── 15s Finger Flash PPG ─► [Peak Detection Algorithm] ──► Resting HR ────────┤</w:t>
        <w:br/>
        <w:t xml:space="preserve">       └── BHW Risk Checklist ──► [Categorical Risk Multiplier] ─────────────────────┤</w:t>
        <w:br/>
        <w:t xml:space="preserve">                                                                                      ▼</w:t>
        <w:br/>
        <w:t xml:space="preserve">                                                               [Bayesian Log-Odds Integration]</w:t>
        <w:br/>
        <w:t xml:space="preserve">                                                                                      │</w:t>
        <w:br/>
        <w:t xml:space="preserve">                                                                 [Platt Scaling Calibration]</w:t>
        <w:br/>
        <w:t xml:space="preserve">                                                                                      │</w:t>
        <w:br/>
        <w:t xml:space="preserve">                                                                     P(Moderate-Severe Anemia)</w:t>
        <w:br/>
        <w:t xml:space="preserve">                                                                                      │</w:t>
        <w:br/>
        <w:t xml:space="preserve">                                                                      [BHW-Facing Triage Label]</w:t>
      </w:r>
    </w:p>
    <w:p>
      <w:pPr>
        <w:spacing w:before="200" w:after="80"/>
      </w:pPr>
      <w:r>
        <w:rPr>
          <w:b/>
          <w:color w:val="24769A"/>
          <w:sz w:val="24"/>
        </w:rPr>
        <w:t>4.2 Conjunctiva Pipeline</w:t>
      </w:r>
    </w:p>
    <w:p>
      <w:pPr>
        <w:pStyle w:val="ListBullet"/>
        <w:spacing w:before="20" w:after="20"/>
      </w:pPr>
      <w:r>
        <w:rPr>
          <w:sz w:val="21"/>
        </w:rPr>
        <w:t>ROI Detection: YOLOv8n-seg fine-tuned to detect and segment the palpebral conjunctival region. Sclera mask serves as white-balance reference.</w:t>
      </w:r>
    </w:p>
    <w:p>
      <w:pPr>
        <w:pStyle w:val="ListBullet"/>
        <w:spacing w:before="20" w:after="20"/>
      </w:pPr>
      <w:r>
        <w:rPr>
          <w:sz w:val="21"/>
        </w:rPr>
        <w:t>White Balance Normalization: G_norm = G_roi / G_sclera (green channel). Replicates Kim et al. (2023) scleral normalization approach.</w:t>
      </w:r>
    </w:p>
    <w:p>
      <w:pPr>
        <w:pStyle w:val="ListBullet"/>
        <w:spacing w:before="20" w:after="20"/>
      </w:pPr>
      <w:r>
        <w:rPr>
          <w:sz w:val="21"/>
        </w:rPr>
        <w:t>Branch A (Deep CNN): MobileNetV3-Small → 576-dim feature vector.</w:t>
      </w:r>
    </w:p>
    <w:p>
      <w:pPr>
        <w:pStyle w:val="ListBullet"/>
        <w:spacing w:before="20" w:after="20"/>
      </w:pPr>
      <w:r>
        <w:rPr>
          <w:sz w:val="21"/>
        </w:rPr>
        <w:t>Branch B (Colorimetric Radiomics): 16 features including Erythema Index (R/(G+B), from Dimauro et al., 2018), Haralick texture, HSV brightness, histogram percentiles.</w:t>
      </w:r>
    </w:p>
    <w:p>
      <w:pPr>
        <w:pStyle w:val="ListBullet"/>
        <w:spacing w:before="20" w:after="20"/>
      </w:pPr>
      <w:r>
        <w:rPr>
          <w:sz w:val="21"/>
        </w:rPr>
        <w:t>Fusion: Concatenate → FC(256) → ReLU → Dropout(0.3) → FC(1) regression head.</w:t>
      </w:r>
    </w:p>
    <w:p>
      <w:pPr>
        <w:pStyle w:val="ListBullet"/>
        <w:spacing w:before="20" w:after="20"/>
      </w:pPr>
      <w:r>
        <w:rPr>
          <w:sz w:val="21"/>
        </w:rPr>
        <w:t>Uncertainty: MC Dropout N=50 passes at inference.</w:t>
      </w:r>
    </w:p>
    <w:p>
      <w:pPr>
        <w:spacing w:before="200" w:after="80"/>
      </w:pPr>
      <w:r>
        <w:rPr>
          <w:b/>
          <w:color w:val="24769A"/>
          <w:sz w:val="24"/>
        </w:rPr>
        <w:t>4.3 Nail Bed Pipeline</w:t>
      </w:r>
    </w:p>
    <w:p>
      <w:pPr>
        <w:pStyle w:val="ListBullet"/>
        <w:spacing w:before="20" w:after="20"/>
      </w:pPr>
      <w:r>
        <w:rPr>
          <w:sz w:val="21"/>
        </w:rPr>
        <w:t>ROI Detection: YOLOv8n-seg detecting nail plate mask and periungual skin region mask.</w:t>
      </w:r>
    </w:p>
    <w:p>
      <w:pPr>
        <w:pStyle w:val="ListBullet"/>
        <w:spacing w:before="20" w:after="20"/>
      </w:pPr>
      <w:r>
        <w:rPr>
          <w:sz w:val="21"/>
        </w:rPr>
        <w:t>Periungual Normalization: Contrast Ratio method (Mannino et al., 2018) on G and R channels.</w:t>
      </w:r>
    </w:p>
    <w:p>
      <w:pPr>
        <w:pStyle w:val="ListBullet"/>
        <w:spacing w:before="20" w:after="20"/>
      </w:pPr>
      <w:r>
        <w:rPr>
          <w:sz w:val="21"/>
        </w:rPr>
        <w:t>Feature Extraction: MobileNetV3-Small on normalized nail ROI + CR features appended to FC.</w:t>
      </w:r>
    </w:p>
    <w:p>
      <w:pPr>
        <w:pStyle w:val="ListBullet"/>
        <w:spacing w:before="20" w:after="20"/>
      </w:pPr>
      <w:r>
        <w:rPr>
          <w:sz w:val="21"/>
        </w:rPr>
        <w:t>Uncertainty: Same MC Dropout scheme as conjunctiva pipeline.</w:t>
      </w:r>
    </w:p>
    <w:p>
      <w:pPr>
        <w:spacing w:before="200" w:after="80"/>
      </w:pPr>
      <w:r>
        <w:rPr>
          <w:b/>
          <w:color w:val="24769A"/>
          <w:sz w:val="24"/>
        </w:rPr>
        <w:t>4.4 Discrepancy Detection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sz w:val="18"/>
        </w:rPr>
        <w:t>Flag raised when: |ŷ_conj - ŷ_nail| &gt; δ   (δ = 2.0 g/dL)</w:t>
      </w:r>
    </w:p>
    <w:p>
      <w:pPr>
        <w:spacing w:before="40" w:after="80"/>
        <w:jc w:val="both"/>
      </w:pPr>
      <w:r>
        <w:rPr>
          <w:i w:val="0"/>
          <w:sz w:val="21"/>
        </w:rPr>
        <w:t>When flagged, BHW is notified to re-check for conjunctivitis, nail injury, or image quality issues. This handles pathological confounders (jaundice, Raynaud's, nail trauma) that would otherwise bias one site's estimate.</w:t>
      </w:r>
    </w:p>
    <w:p>
      <w:pPr>
        <w:spacing w:before="280" w:after="80"/>
      </w:pPr>
      <w:r>
        <w:rPr>
          <w:b/>
          <w:color w:val="1A5676"/>
          <w:sz w:val="28"/>
        </w:rPr>
        <w:t>5. Dataset Strategy</w:t>
      </w:r>
    </w:p>
    <w:p>
      <w:pPr>
        <w:spacing w:before="200" w:after="80"/>
      </w:pPr>
      <w:r>
        <w:rPr>
          <w:b/>
          <w:color w:val="24769A"/>
          <w:sz w:val="24"/>
        </w:rPr>
        <w:t>5.1 Available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226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417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Site</w:t>
            </w:r>
          </w:p>
        </w:tc>
        <w:tc>
          <w:tcPr>
            <w:tcW w:type="dxa" w:w="102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type="dxa" w:w="1984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Ground Truth</w:t>
            </w:r>
          </w:p>
        </w:tc>
        <w:tc>
          <w:tcPr>
            <w:tcW w:type="dxa" w:w="2551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CP-Anemic Ghana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Conjunctiva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710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Hb g/dL (HemoCue)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Mendeley 10.17632/m53vz6b7fx.1</w:t>
            </w:r>
          </w:p>
        </w:tc>
      </w:tr>
      <w:tr>
        <w:tc>
          <w:tcPr>
            <w:tcW w:type="dxa" w:w="2268"/>
            <w:shd w:val="clear" w:color="auto" w:fill="E8F4F8"/>
          </w:tcPr>
          <w:p>
            <w:r>
              <w:rPr>
                <w:sz w:val="19"/>
              </w:rPr>
              <w:t>EYES-DEFY-ANEMIA</w:t>
            </w:r>
          </w:p>
        </w:tc>
        <w:tc>
          <w:tcPr>
            <w:tcW w:type="dxa" w:w="1417"/>
            <w:shd w:val="clear" w:color="auto" w:fill="E8F4F8"/>
          </w:tcPr>
          <w:p>
            <w:r>
              <w:rPr>
                <w:sz w:val="19"/>
              </w:rPr>
              <w:t>Conjunctiva</w:t>
            </w:r>
          </w:p>
        </w:tc>
        <w:tc>
          <w:tcPr>
            <w:tcW w:type="dxa" w:w="1020"/>
            <w:shd w:val="clear" w:color="auto" w:fill="E8F4F8"/>
          </w:tcPr>
          <w:p>
            <w:r>
              <w:rPr>
                <w:sz w:val="19"/>
              </w:rPr>
              <w:t>865</w:t>
            </w:r>
          </w:p>
        </w:tc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Class + Hb</w:t>
            </w:r>
          </w:p>
        </w:tc>
        <w:tc>
          <w:tcPr>
            <w:tcW w:type="dxa" w:w="2551"/>
            <w:shd w:val="clear" w:color="auto" w:fill="E8F4F8"/>
          </w:tcPr>
          <w:p>
            <w:r>
              <w:rPr>
                <w:sz w:val="19"/>
              </w:rPr>
              <w:t>Kaggle (Dimauro et al., 2018)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Eye-Conjunctiva Kaggle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Conjunctiva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218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Binary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Kaggle</w:t>
            </w:r>
          </w:p>
        </w:tc>
      </w:tr>
      <w:tr>
        <w:tc>
          <w:tcPr>
            <w:tcW w:type="dxa" w:w="2268"/>
            <w:shd w:val="clear" w:color="auto" w:fill="E8F4F8"/>
          </w:tcPr>
          <w:p>
            <w:r>
              <w:rPr>
                <w:sz w:val="19"/>
              </w:rPr>
              <w:t>Ghana Fingernails</w:t>
            </w:r>
          </w:p>
        </w:tc>
        <w:tc>
          <w:tcPr>
            <w:tcW w:type="dxa" w:w="1417"/>
            <w:shd w:val="clear" w:color="auto" w:fill="E8F4F8"/>
          </w:tcPr>
          <w:p>
            <w:r>
              <w:rPr>
                <w:sz w:val="19"/>
              </w:rPr>
              <w:t>Nail bed</w:t>
            </w:r>
          </w:p>
        </w:tc>
        <w:tc>
          <w:tcPr>
            <w:tcW w:type="dxa" w:w="1020"/>
            <w:shd w:val="clear" w:color="auto" w:fill="E8F4F8"/>
          </w:tcPr>
          <w:p>
            <w:r>
              <w:rPr>
                <w:sz w:val="19"/>
              </w:rPr>
              <w:t>4,260</w:t>
            </w:r>
          </w:p>
        </w:tc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Anemia class</w:t>
            </w:r>
          </w:p>
        </w:tc>
        <w:tc>
          <w:tcPr>
            <w:tcW w:type="dxa" w:w="2551"/>
            <w:shd w:val="clear" w:color="auto" w:fill="E8F4F8"/>
          </w:tcPr>
          <w:p>
            <w:r>
              <w:rPr>
                <w:sz w:val="19"/>
              </w:rPr>
              <w:t>Mendeley 10.17632/2xx4j3kjg2.1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Peru Uñas-Palmas-Yemas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Nail bed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9"/>
              </w:rPr>
              <w:t>826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3-class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Kaggle shimu080</w:t>
            </w:r>
          </w:p>
        </w:tc>
      </w:tr>
      <w:tr>
        <w:tc>
          <w:tcPr>
            <w:tcW w:type="dxa" w:w="2268"/>
            <w:shd w:val="clear" w:color="auto" w:fill="E8F4F8"/>
          </w:tcPr>
          <w:p>
            <w:r>
              <w:rPr>
                <w:sz w:val="19"/>
              </w:rPr>
              <w:t>Fingernail Ayush</w:t>
            </w:r>
          </w:p>
        </w:tc>
        <w:tc>
          <w:tcPr>
            <w:tcW w:type="dxa" w:w="1417"/>
            <w:shd w:val="clear" w:color="auto" w:fill="E8F4F8"/>
          </w:tcPr>
          <w:p>
            <w:r>
              <w:rPr>
                <w:sz w:val="19"/>
              </w:rPr>
              <w:t>Nail bed</w:t>
            </w:r>
          </w:p>
        </w:tc>
        <w:tc>
          <w:tcPr>
            <w:tcW w:type="dxa" w:w="1020"/>
            <w:shd w:val="clear" w:color="auto" w:fill="E8F4F8"/>
          </w:tcPr>
          <w:p>
            <w:r>
              <w:rPr>
                <w:sz w:val="19"/>
              </w:rPr>
              <w:t>1,777</w:t>
            </w:r>
          </w:p>
        </w:tc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Binary</w:t>
            </w:r>
          </w:p>
        </w:tc>
        <w:tc>
          <w:tcPr>
            <w:tcW w:type="dxa" w:w="2551"/>
            <w:shd w:val="clear" w:color="auto" w:fill="E8F4F8"/>
          </w:tcPr>
          <w:p>
            <w:r>
              <w:rPr>
                <w:sz w:val="19"/>
              </w:rPr>
              <w:t>Kaggle</w:t>
            </w:r>
          </w:p>
        </w:tc>
      </w:tr>
    </w:tbl>
    <w:p/>
    <w:p>
      <w:pPr>
        <w:spacing w:before="40" w:after="80"/>
        <w:jc w:val="both"/>
      </w:pPr>
      <w:r>
        <w:rPr>
          <w:i w:val="0"/>
          <w:sz w:val="21"/>
        </w:rPr>
        <w:t>Total: ~8,656 images across both sites before augmentation. Critical Gap: No Filipino ground-truth dataset exists. Philippine field validation is essential.</w:t>
      </w:r>
    </w:p>
    <w:p>
      <w:pPr>
        <w:spacing w:before="200" w:after="80"/>
      </w:pPr>
      <w:r>
        <w:rPr>
          <w:b/>
          <w:color w:val="24769A"/>
          <w:sz w:val="24"/>
        </w:rPr>
        <w:t>5.2 Data Augmentation</w:t>
      </w:r>
    </w:p>
    <w:p>
      <w:pPr>
        <w:pStyle w:val="ListBullet"/>
        <w:spacing w:before="20" w:after="20"/>
      </w:pPr>
      <w:r>
        <w:rPr>
          <w:sz w:val="21"/>
        </w:rPr>
        <w:t>Geometric: Random flip, ±15° rotation</w:t>
      </w:r>
    </w:p>
    <w:p>
      <w:pPr>
        <w:pStyle w:val="ListBullet"/>
        <w:spacing w:before="20" w:after="20"/>
      </w:pPr>
      <w:r>
        <w:rPr>
          <w:sz w:val="21"/>
        </w:rPr>
        <w:t>Photometric: ColorJitter (brightness ±0.3, contrast ±0.3, saturation ±0.2, hue ±0.05)</w:t>
      </w:r>
    </w:p>
    <w:p>
      <w:pPr>
        <w:pStyle w:val="ListBullet"/>
        <w:spacing w:before="20" w:after="20"/>
      </w:pPr>
      <w:r>
        <w:rPr>
          <w:sz w:val="21"/>
        </w:rPr>
        <w:t>Blur: Random Gaussian blur σ = 0.5–1.5 (defocus simulation)</w:t>
      </w:r>
    </w:p>
    <w:p>
      <w:pPr>
        <w:pStyle w:val="ListBullet"/>
        <w:spacing w:before="20" w:after="20"/>
      </w:pPr>
      <w:r>
        <w:rPr>
          <w:sz w:val="21"/>
        </w:rPr>
        <w:t>Shadow: Albumentations RandomShadow (lighting condition simulation)</w:t>
      </w:r>
    </w:p>
    <w:p>
      <w:pPr>
        <w:pStyle w:val="ListBullet"/>
        <w:spacing w:before="20" w:after="20"/>
      </w:pPr>
      <w:r>
        <w:rPr>
          <w:sz w:val="21"/>
        </w:rPr>
        <w:t>Synthetic Hb Shift: Beer-Lambert-derived green-channel scaling to simulate lower Hb values (Kim et al., 2020 method)</w:t>
      </w:r>
    </w:p>
    <w:p>
      <w:pPr>
        <w:spacing w:before="280" w:after="80"/>
      </w:pPr>
      <w:r>
        <w:rPr>
          <w:b/>
          <w:color w:val="1A5676"/>
          <w:sz w:val="28"/>
        </w:rPr>
        <w:t>6. Training and Evaluation Protocol</w:t>
      </w:r>
    </w:p>
    <w:p>
      <w:pPr>
        <w:spacing w:before="200" w:after="80"/>
      </w:pPr>
      <w:r>
        <w:rPr>
          <w:b/>
          <w:color w:val="24769A"/>
          <w:sz w:val="24"/>
        </w:rPr>
        <w:t>6.1 Training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6236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Framework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PyTorch 2.x</w:t>
            </w:r>
          </w:p>
        </w:tc>
      </w:tr>
      <w:tr>
        <w:tc>
          <w:tcPr>
            <w:tcW w:type="dxa" w:w="3969"/>
            <w:shd w:val="clear" w:color="auto" w:fill="E8F4F8"/>
          </w:tcPr>
          <w:p>
            <w:r>
              <w:rPr>
                <w:sz w:val="19"/>
              </w:rPr>
              <w:t>Base Model</w:t>
            </w:r>
          </w:p>
        </w:tc>
        <w:tc>
          <w:tcPr>
            <w:tcW w:type="dxa" w:w="6236"/>
            <w:shd w:val="clear" w:color="auto" w:fill="E8F4F8"/>
          </w:tcPr>
          <w:p>
            <w:r>
              <w:rPr>
                <w:sz w:val="19"/>
              </w:rPr>
              <w:t>MobileNetV3-Small (ImageNet pretrained)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Loss Function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Huber Loss (δ=1.0) — robust to outlier Hb extremes (Huber, 1964)</w:t>
            </w:r>
          </w:p>
        </w:tc>
      </w:tr>
      <w:tr>
        <w:tc>
          <w:tcPr>
            <w:tcW w:type="dxa" w:w="3969"/>
            <w:shd w:val="clear" w:color="auto" w:fill="E8F4F8"/>
          </w:tcPr>
          <w:p>
            <w:r>
              <w:rPr>
                <w:sz w:val="19"/>
              </w:rPr>
              <w:t>Optimizer</w:t>
            </w:r>
          </w:p>
        </w:tc>
        <w:tc>
          <w:tcPr>
            <w:tcW w:type="dxa" w:w="6236"/>
            <w:shd w:val="clear" w:color="auto" w:fill="E8F4F8"/>
          </w:tcPr>
          <w:p>
            <w:r>
              <w:rPr>
                <w:sz w:val="19"/>
              </w:rPr>
              <w:t>AdamW, lr=3e-4, weight decay=1e-4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LR Schedule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Cosine annealing with warm restart</w:t>
            </w:r>
          </w:p>
        </w:tc>
      </w:tr>
      <w:tr>
        <w:tc>
          <w:tcPr>
            <w:tcW w:type="dxa" w:w="3969"/>
            <w:shd w:val="clear" w:color="auto" w:fill="E8F4F8"/>
          </w:tcPr>
          <w:p>
            <w:r>
              <w:rPr>
                <w:sz w:val="19"/>
              </w:rPr>
              <w:t>Batch Size</w:t>
            </w:r>
          </w:p>
        </w:tc>
        <w:tc>
          <w:tcPr>
            <w:tcW w:type="dxa" w:w="6236"/>
            <w:shd w:val="clear" w:color="auto" w:fill="E8F4F8"/>
          </w:tcPr>
          <w:p>
            <w:r>
              <w:rPr>
                <w:sz w:val="19"/>
              </w:rPr>
              <w:t>32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Epochs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100 (early stopping, patience=15)</w:t>
            </w:r>
          </w:p>
        </w:tc>
      </w:tr>
      <w:tr>
        <w:tc>
          <w:tcPr>
            <w:tcW w:type="dxa" w:w="3969"/>
            <w:shd w:val="clear" w:color="auto" w:fill="E8F4F8"/>
          </w:tcPr>
          <w:p>
            <w:r>
              <w:rPr>
                <w:sz w:val="19"/>
              </w:rPr>
              <w:t>MC Dropout passes</w:t>
            </w:r>
          </w:p>
        </w:tc>
        <w:tc>
          <w:tcPr>
            <w:tcW w:type="dxa" w:w="6236"/>
            <w:shd w:val="clear" w:color="auto" w:fill="E8F4F8"/>
          </w:tcPr>
          <w:p>
            <w:r>
              <w:rPr>
                <w:sz w:val="19"/>
              </w:rPr>
              <w:t>N=50 at inference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Validation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5-fold stratified CV (stratified by Hb tier, Fitzpatrick, dataset source)</w:t>
            </w:r>
          </w:p>
        </w:tc>
      </w:tr>
    </w:tbl>
    <w:p/>
    <w:p>
      <w:pPr>
        <w:spacing w:before="200" w:after="80"/>
      </w:pPr>
      <w:r>
        <w:rPr>
          <w:b/>
          <w:color w:val="24769A"/>
          <w:sz w:val="24"/>
        </w:rPr>
        <w:t>6.2 Primary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535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1984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MAE (g/dL)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Mean Absolute Error — fused ŷ vs. lab Hb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≤ 1.5 g/dL</w:t>
            </w:r>
          </w:p>
        </w:tc>
      </w:tr>
      <w:tr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RMSE (g/dL)</w:t>
            </w:r>
          </w:p>
        </w:tc>
        <w:tc>
          <w:tcPr>
            <w:tcW w:type="dxa" w:w="4535"/>
            <w:shd w:val="clear" w:color="auto" w:fill="E8F4F8"/>
          </w:tcPr>
          <w:p>
            <w:r>
              <w:rPr>
                <w:sz w:val="19"/>
              </w:rPr>
              <w:t>Root Mean Squared Error</w:t>
            </w:r>
          </w:p>
        </w:tc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≤ 2.0 g/dL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Sensitivity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True Positive Rate — Hb &lt; 10.0 g/dL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≥ 85%</w:t>
            </w:r>
          </w:p>
        </w:tc>
      </w:tr>
      <w:tr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Specificity</w:t>
            </w:r>
          </w:p>
        </w:tc>
        <w:tc>
          <w:tcPr>
            <w:tcW w:type="dxa" w:w="4535"/>
            <w:shd w:val="clear" w:color="auto" w:fill="E8F4F8"/>
          </w:tcPr>
          <w:p>
            <w:r>
              <w:rPr>
                <w:sz w:val="19"/>
              </w:rPr>
              <w:t>True Negative Rate — Hb ≥ 10.0 g/dL</w:t>
            </w:r>
          </w:p>
        </w:tc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≥ 75%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AUROC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Area Under ROC Curve for Hb &lt; 10.0 g/dL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≥ 0.88</w:t>
            </w:r>
          </w:p>
        </w:tc>
      </w:tr>
      <w:tr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ECE</w:t>
            </w:r>
          </w:p>
        </w:tc>
        <w:tc>
          <w:tcPr>
            <w:tcW w:type="dxa" w:w="4535"/>
            <w:shd w:val="clear" w:color="auto" w:fill="E8F4F8"/>
          </w:tcPr>
          <w:p>
            <w:r>
              <w:rPr>
                <w:sz w:val="19"/>
              </w:rPr>
              <w:t>Expected Calibration Error (calibration quality)</w:t>
            </w:r>
          </w:p>
        </w:tc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≤ 0.08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Bland-Altman LoA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95% Limits of Agreement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&lt; ±2.5 g/dL</w:t>
            </w:r>
          </w:p>
        </w:tc>
      </w:tr>
    </w:tbl>
    <w:p/>
    <w:p>
      <w:pPr>
        <w:spacing w:before="200" w:after="80"/>
      </w:pPr>
      <w:r>
        <w:rPr>
          <w:b/>
          <w:color w:val="24769A"/>
          <w:sz w:val="24"/>
        </w:rPr>
        <w:t>6.3 Subgroup Analysis</w:t>
      </w:r>
    </w:p>
    <w:p>
      <w:pPr>
        <w:spacing w:before="40" w:after="80"/>
        <w:jc w:val="both"/>
      </w:pPr>
      <w:r>
        <w:rPr>
          <w:i w:val="0"/>
          <w:sz w:val="21"/>
        </w:rPr>
        <w:t>Performance reported SEPARATELY for: Fitzpatrick I–II vs. III–IV vs. V–VI; Hb tier (Mild/Moderate/Severe); dataset source; gender. Subgroup analysis reveals hidden disparities that aggregate metrics conceal (Obermeyer et al., 2019, Science).</w:t>
      </w:r>
    </w:p>
    <w:p>
      <w:pPr>
        <w:spacing w:before="280" w:after="80"/>
      </w:pPr>
      <w:r>
        <w:rPr>
          <w:b/>
          <w:color w:val="1A5676"/>
          <w:sz w:val="28"/>
        </w:rPr>
        <w:t>7. Explicit Model Limitations (Mandatory Disclosure)</w:t>
      </w:r>
    </w:p>
    <w:p>
      <w:pPr>
        <w:spacing w:before="40" w:after="80"/>
        <w:jc w:val="both"/>
      </w:pPr>
      <w:r>
        <w:rPr>
          <w:i w:val="0"/>
          <w:sz w:val="21"/>
        </w:rPr>
        <w:t>The following limitations are non-negotiable and will be disclosed to all users of the system, per mentor directive and responsible AI practice.</w:t>
      </w:r>
    </w:p>
    <w:p>
      <w:pPr>
        <w:spacing w:before="200" w:after="80"/>
      </w:pPr>
      <w:r>
        <w:rPr>
          <w:b/>
          <w:color w:val="24769A"/>
          <w:sz w:val="24"/>
        </w:rPr>
        <w:t>7.1 Detection Limit for Mild Anemia</w:t>
      </w:r>
    </w:p>
    <w:p>
      <w:pPr>
        <w:spacing w:before="40" w:after="80"/>
        <w:jc w:val="both"/>
      </w:pPr>
      <w:r>
        <w:rPr>
          <w:i w:val="0"/>
          <w:sz w:val="21"/>
        </w:rPr>
        <w:t>TinginHB is not designed to reliably detect mild anemia (Hb 11.0–11.9 g/dL). Pallor-based indicators become visually distinguishable only at Hb &lt; ~9.0–10.0 g/dL (Kalter et al., 1997). Even HemaChrome (Kim et al., 2020) achieves only 62.1% sensitivity at the mild threshold. A negative TinginHB result does NOT rule out mild anemia.</w:t>
      </w:r>
    </w:p>
    <w:p>
      <w:pPr>
        <w:spacing w:before="200" w:after="80"/>
      </w:pPr>
      <w:r>
        <w:rPr>
          <w:b/>
          <w:color w:val="24769A"/>
          <w:sz w:val="24"/>
        </w:rPr>
        <w:t>7.2 Physiological Confounders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Confounder</w:t>
            </w:r>
          </w:p>
        </w:tc>
        <w:tc>
          <w:tcPr>
            <w:tcW w:type="dxa" w:w="311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Effect</w:t>
            </w:r>
          </w:p>
        </w:tc>
        <w:tc>
          <w:tcPr>
            <w:tcW w:type="dxa" w:w="311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Conjunctivitis / eye inflammation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Red conjunctiva → false positive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Discrepancy flag + exclusion criterion</w:t>
            </w:r>
          </w:p>
        </w:tc>
      </w:tr>
      <w:tr>
        <w:tc>
          <w:tcPr>
            <w:tcW w:type="dxa" w:w="2835"/>
            <w:shd w:val="clear" w:color="auto" w:fill="E8F4F8"/>
          </w:tcPr>
          <w:p>
            <w:r>
              <w:rPr>
                <w:sz w:val="19"/>
              </w:rPr>
              <w:t>Jaundice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Yellow sclera distorts white balance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Exclusion criterion in BHW guide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Nail trauma / subungual hematoma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Dark pigmentation confounds ROI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Discrepancy flag</w:t>
            </w:r>
          </w:p>
        </w:tc>
      </w:tr>
      <w:tr>
        <w:tc>
          <w:tcPr>
            <w:tcW w:type="dxa" w:w="2835"/>
            <w:shd w:val="clear" w:color="auto" w:fill="E8F4F8"/>
          </w:tcPr>
          <w:p>
            <w:r>
              <w:rPr>
                <w:sz w:val="19"/>
              </w:rPr>
              <w:t>Hypothermia / Raynaud's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Vasoconstriction → false pallor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Discrepancy flag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Dehydration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May mask anemia (concentrated blood)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Noted as limitation</w:t>
            </w:r>
          </w:p>
        </w:tc>
      </w:tr>
    </w:tbl>
    <w:p/>
    <w:p>
      <w:pPr>
        <w:spacing w:before="200" w:after="80"/>
      </w:pPr>
      <w:r>
        <w:rPr>
          <w:b/>
          <w:color w:val="24769A"/>
          <w:sz w:val="24"/>
        </w:rPr>
        <w:t>7.3 Imaging Confounders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Confounder</w:t>
            </w:r>
          </w:p>
        </w:tc>
        <w:tc>
          <w:tcPr>
            <w:tcW w:type="dxa" w:w="311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Effect</w:t>
            </w:r>
          </w:p>
        </w:tc>
        <w:tc>
          <w:tcPr>
            <w:tcW w:type="dxa" w:w="311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Ambient lighting color temperature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Color cast distorts Hb estimation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Scleral white-balance normalization</w:t>
            </w:r>
          </w:p>
        </w:tc>
      </w:tr>
      <w:tr>
        <w:tc>
          <w:tcPr>
            <w:tcW w:type="dxa" w:w="2835"/>
            <w:shd w:val="clear" w:color="auto" w:fill="E8F4F8"/>
          </w:tcPr>
          <w:p>
            <w:r>
              <w:rPr>
                <w:sz w:val="19"/>
              </w:rPr>
              <w:t>Fluorescent lighting (CRI &lt; 80)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Green-heavy spectrum inflates EI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Protocol: natural light preferred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Motion blur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ROI segmentation fails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Laplacian variance sharpness gate</w:t>
            </w:r>
          </w:p>
        </w:tc>
      </w:tr>
      <w:tr>
        <w:tc>
          <w:tcPr>
            <w:tcW w:type="dxa" w:w="2835"/>
            <w:shd w:val="clear" w:color="auto" w:fill="E8F4F8"/>
          </w:tcPr>
          <w:p>
            <w:r>
              <w:rPr>
                <w:sz w:val="19"/>
              </w:rPr>
              <w:t>Insufficient eyelid eversion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Partial conjunctiva visible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YOLOv8 confidence gate &lt; 0.7 → reject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Fitzpatrick V–VI skin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High melanin around nail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CR normalization partial; known gap</w:t>
            </w:r>
          </w:p>
        </w:tc>
      </w:tr>
    </w:tbl>
    <w:p/>
    <w:p>
      <w:pPr>
        <w:spacing w:before="200" w:after="80"/>
      </w:pPr>
      <w:r>
        <w:rPr>
          <w:b/>
          <w:color w:val="24769A"/>
          <w:sz w:val="24"/>
        </w:rPr>
        <w:t>7.4 What TinginHB Explicitly Does NOT Claim</w:t>
      </w:r>
    </w:p>
    <w:p>
      <w:pPr>
        <w:pStyle w:val="ListBullet"/>
        <w:spacing w:before="20" w:after="20"/>
      </w:pPr>
      <w:r>
        <w:rPr>
          <w:sz w:val="21"/>
        </w:rPr>
        <w:t>NOT a substitute for Complete Blood Count (CBC)</w:t>
      </w:r>
    </w:p>
    <w:p>
      <w:pPr>
        <w:pStyle w:val="ListBullet"/>
        <w:spacing w:before="20" w:after="20"/>
      </w:pPr>
      <w:r>
        <w:rPr>
          <w:sz w:val="21"/>
        </w:rPr>
        <w:t>NOT reliable for mild anemia (Hb 11.0–11.9 g/dL) detection</w:t>
      </w:r>
    </w:p>
    <w:p>
      <w:pPr>
        <w:pStyle w:val="ListBullet"/>
        <w:spacing w:before="20" w:after="20"/>
      </w:pPr>
      <w:r>
        <w:rPr>
          <w:sz w:val="21"/>
        </w:rPr>
        <w:t>NOT a diagnostic device — to be registered as a software-based wellness/screening aid</w:t>
      </w:r>
    </w:p>
    <w:p>
      <w:pPr>
        <w:pStyle w:val="ListBullet"/>
        <w:spacing w:before="20" w:after="20"/>
      </w:pPr>
      <w:r>
        <w:rPr>
          <w:sz w:val="21"/>
        </w:rPr>
        <w:t>NOT validated for individuals with conjunctival pathology or nail disorders</w:t>
      </w:r>
    </w:p>
    <w:p>
      <w:pPr>
        <w:pStyle w:val="ListBullet"/>
        <w:spacing w:before="20" w:after="20"/>
      </w:pPr>
      <w:r>
        <w:rPr>
          <w:sz w:val="21"/>
        </w:rPr>
        <w:t>NOT tested on Fitzpatrick VI skin tones</w:t>
      </w:r>
    </w:p>
    <w:p>
      <w:pPr>
        <w:spacing w:before="280" w:after="80"/>
      </w:pPr>
      <w:r>
        <w:rPr>
          <w:b/>
          <w:color w:val="1A5676"/>
          <w:sz w:val="28"/>
        </w:rPr>
        <w:t>8. Philippine Field Validation Protocol</w:t>
      </w:r>
    </w:p>
    <w:p>
      <w:pPr>
        <w:spacing w:before="200" w:after="80"/>
      </w:pPr>
      <w:r>
        <w:rPr>
          <w:b/>
          <w:color w:val="24769A"/>
          <w:sz w:val="24"/>
        </w:rPr>
        <w:t>8.1 Study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7370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Design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9"/>
              </w:rPr>
              <w:t>Prospective diagnostic accuracy study (STARD 2015 reporting guidelines)</w:t>
            </w:r>
          </w:p>
        </w:tc>
      </w:tr>
      <w:tr>
        <w:tc>
          <w:tcPr>
            <w:tcW w:type="dxa" w:w="2268"/>
            <w:shd w:val="clear" w:color="auto" w:fill="E8F4F8"/>
          </w:tcPr>
          <w:p>
            <w:r>
              <w:rPr>
                <w:sz w:val="19"/>
              </w:rPr>
              <w:t>Setting</w:t>
            </w:r>
          </w:p>
        </w:tc>
        <w:tc>
          <w:tcPr>
            <w:tcW w:type="dxa" w:w="7370"/>
            <w:shd w:val="clear" w:color="auto" w:fill="E8F4F8"/>
          </w:tcPr>
          <w:p>
            <w:r>
              <w:rPr>
                <w:sz w:val="19"/>
              </w:rPr>
              <w:t>Barangay health stations, Cagayan de Oro, Misamis Oriental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Target N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9"/>
              </w:rPr>
              <w:t>n = 250 subjects (Wilson method: 196 for 85% sensitivity, 10% precision, 15% attrition)</w:t>
            </w:r>
          </w:p>
        </w:tc>
      </w:tr>
      <w:tr>
        <w:tc>
          <w:tcPr>
            <w:tcW w:type="dxa" w:w="2268"/>
            <w:shd w:val="clear" w:color="auto" w:fill="E8F4F8"/>
          </w:tcPr>
          <w:p>
            <w:r>
              <w:rPr>
                <w:sz w:val="19"/>
              </w:rPr>
              <w:t>Reference Std.</w:t>
            </w:r>
          </w:p>
        </w:tc>
        <w:tc>
          <w:tcPr>
            <w:tcW w:type="dxa" w:w="7370"/>
            <w:shd w:val="clear" w:color="auto" w:fill="E8F4F8"/>
          </w:tcPr>
          <w:p>
            <w:r>
              <w:rPr>
                <w:sz w:val="19"/>
              </w:rPr>
              <w:t>Laboratory CBC (Sysmex XN) at affiliated RHU within 2 hours of imaging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Recruitment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9"/>
              </w:rPr>
              <w:t>Purposive sampling — 40% target anemia prevalence via RHU referrals</w:t>
            </w:r>
          </w:p>
        </w:tc>
      </w:tr>
      <w:tr>
        <w:tc>
          <w:tcPr>
            <w:tcW w:type="dxa" w:w="2268"/>
            <w:shd w:val="clear" w:color="auto" w:fill="E8F4F8"/>
          </w:tcPr>
          <w:p>
            <w:r>
              <w:rPr>
                <w:sz w:val="19"/>
              </w:rPr>
              <w:t>Blinding</w:t>
            </w:r>
          </w:p>
        </w:tc>
        <w:tc>
          <w:tcPr>
            <w:tcW w:type="dxa" w:w="7370"/>
            <w:shd w:val="clear" w:color="auto" w:fill="E8F4F8"/>
          </w:tcPr>
          <w:p>
            <w:r>
              <w:rPr>
                <w:sz w:val="19"/>
              </w:rPr>
              <w:t>BHWs blinded to CBC result during scan; unblinded for analysis only</w:t>
            </w:r>
          </w:p>
        </w:tc>
      </w:tr>
    </w:tbl>
    <w:p/>
    <w:p>
      <w:pPr>
        <w:spacing w:before="200" w:after="80"/>
      </w:pPr>
      <w:r>
        <w:rPr>
          <w:b/>
          <w:color w:val="24769A"/>
          <w:sz w:val="24"/>
        </w:rPr>
        <w:t>8.2 Analysis Plan</w:t>
      </w:r>
    </w:p>
    <w:p>
      <w:pPr>
        <w:pStyle w:val="ListBullet"/>
        <w:spacing w:before="20" w:after="20"/>
      </w:pPr>
      <w:r>
        <w:rPr>
          <w:sz w:val="21"/>
        </w:rPr>
        <w:t>Primary: AUROC for P(Moderate-Severe Anemia) vs. CBC Hb &lt; 10.0 g/dL</w:t>
      </w:r>
    </w:p>
    <w:p>
      <w:pPr>
        <w:pStyle w:val="ListBullet"/>
        <w:spacing w:before="20" w:after="20"/>
      </w:pPr>
      <w:r>
        <w:rPr>
          <w:sz w:val="21"/>
        </w:rPr>
        <w:t>Secondary: Sensitivity, specificity, PPV, NPV at optimal Youden threshold</w:t>
      </w:r>
    </w:p>
    <w:p>
      <w:pPr>
        <w:pStyle w:val="ListBullet"/>
        <w:spacing w:before="20" w:after="20"/>
      </w:pPr>
      <w:r>
        <w:rPr>
          <w:sz w:val="21"/>
        </w:rPr>
        <w:t>Calibration: Reliability diagram + ECE on validation cohort</w:t>
      </w:r>
    </w:p>
    <w:p>
      <w:pPr>
        <w:pStyle w:val="ListBullet"/>
        <w:spacing w:before="20" w:after="20"/>
      </w:pPr>
      <w:r>
        <w:rPr>
          <w:sz w:val="21"/>
        </w:rPr>
        <w:t>Subgroup: By gender, estimated Fitzpatrick phototype, anemia tier</w:t>
      </w:r>
    </w:p>
    <w:p>
      <w:pPr>
        <w:pStyle w:val="ListBullet"/>
        <w:spacing w:before="20" w:after="20"/>
      </w:pPr>
      <w:r>
        <w:rPr>
          <w:sz w:val="21"/>
        </w:rPr>
        <w:t>Bland-Altman: Continuous Hb estimates vs. CBC Hb</w:t>
      </w:r>
    </w:p>
    <w:p>
      <w:pPr>
        <w:spacing w:before="280" w:after="80"/>
      </w:pPr>
      <w:r>
        <w:rPr>
          <w:b/>
          <w:color w:val="1A5676"/>
          <w:sz w:val="28"/>
        </w:rPr>
        <w:t>9. Edge Deployment and Technical Feasibility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402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118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Size / Latency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YOLOv8n-seg (ROI)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TFLite INT8 quantized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~3.5 MB, ~80 ms/image</w:t>
            </w:r>
          </w:p>
        </w:tc>
      </w:tr>
      <w:tr>
        <w:tc>
          <w:tcPr>
            <w:tcW w:type="dxa" w:w="2835"/>
            <w:shd w:val="clear" w:color="auto" w:fill="E8F4F8"/>
          </w:tcPr>
          <w:p>
            <w:r>
              <w:rPr>
                <w:sz w:val="19"/>
              </w:rPr>
              <w:t>MobileNetV3-Small</w:t>
            </w:r>
          </w:p>
        </w:tc>
        <w:tc>
          <w:tcPr>
            <w:tcW w:type="dxa" w:w="3402"/>
            <w:shd w:val="clear" w:color="auto" w:fill="E8F4F8"/>
          </w:tcPr>
          <w:p>
            <w:r>
              <w:rPr>
                <w:sz w:val="19"/>
              </w:rPr>
              <w:t>TFLite FP16 quantized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~5.2 MB, ~120 ms/image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MC Dropout (N=50)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Parallelized on-device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~200 ms total</w:t>
            </w:r>
          </w:p>
        </w:tc>
      </w:tr>
      <w:tr>
        <w:tc>
          <w:tcPr>
            <w:tcW w:type="dxa" w:w="2835"/>
            <w:shd w:val="clear" w:color="auto" w:fill="E8F4F8"/>
          </w:tcPr>
          <w:p>
            <w:r>
              <w:rPr>
                <w:sz w:val="19"/>
              </w:rPr>
              <w:t>Fusion + Calibration</w:t>
            </w:r>
          </w:p>
        </w:tc>
        <w:tc>
          <w:tcPr>
            <w:tcW w:type="dxa" w:w="3402"/>
            <w:shd w:val="clear" w:color="auto" w:fill="E8F4F8"/>
          </w:tcPr>
          <w:p>
            <w:r>
              <w:rPr>
                <w:sz w:val="19"/>
              </w:rPr>
              <w:t>NumPy / on-device Python</w:t>
            </w:r>
          </w:p>
        </w:tc>
        <w:tc>
          <w:tcPr>
            <w:tcW w:type="dxa" w:w="3118"/>
            <w:shd w:val="clear" w:color="auto" w:fill="E8F4F8"/>
          </w:tcPr>
          <w:p>
            <w:r>
              <w:rPr>
                <w:sz w:val="19"/>
              </w:rPr>
              <w:t>~10 ms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Total Pipeline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&lt; 450 ms per dual-site scan</w:t>
            </w:r>
          </w:p>
        </w:tc>
      </w:tr>
    </w:tbl>
    <w:p/>
    <w:p>
      <w:pPr>
        <w:spacing w:before="40" w:after="80"/>
        <w:jc w:val="both"/>
      </w:pPr>
      <w:r>
        <w:rPr>
          <w:i w:val="0"/>
          <w:sz w:val="21"/>
        </w:rPr>
        <w:t>Target devices: Android 8.0+, ≥2 GB RAM, ≥8 MP camera. All inference runs offline — no internet required at point of care.</w:t>
      </w:r>
    </w:p>
    <w:p>
      <w:pPr>
        <w:spacing w:before="280" w:after="80"/>
      </w:pPr>
      <w:r>
        <w:rPr>
          <w:b/>
          <w:color w:val="1A5676"/>
          <w:sz w:val="28"/>
        </w:rPr>
        <w:t>10. Research Timeline and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819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Activities</w:t>
            </w:r>
          </w:p>
        </w:tc>
        <w:tc>
          <w:tcPr>
            <w:tcW w:type="dxa" w:w="1984"/>
            <w:shd w:val="clear" w:color="auto" w:fill="1A56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Phase 1: Dataset &amp; Pipeline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Preprocessing, augmentation, YOLOv8 ROI training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Months 1–2</w:t>
            </w:r>
          </w:p>
        </w:tc>
      </w:tr>
      <w:tr>
        <w:tc>
          <w:tcPr>
            <w:tcW w:type="dxa" w:w="2551"/>
            <w:shd w:val="clear" w:color="auto" w:fill="E8F4F8"/>
          </w:tcPr>
          <w:p>
            <w:r>
              <w:rPr>
                <w:sz w:val="19"/>
              </w:rPr>
              <w:t>Phase 2: Model Training</w:t>
            </w:r>
          </w:p>
        </w:tc>
        <w:tc>
          <w:tcPr>
            <w:tcW w:type="dxa" w:w="4819"/>
            <w:shd w:val="clear" w:color="auto" w:fill="E8F4F8"/>
          </w:tcPr>
          <w:p>
            <w:r>
              <w:rPr>
                <w:sz w:val="19"/>
              </w:rPr>
              <w:t>Dual-branch MobileNetV3, MC Dropout, ablation studies</w:t>
            </w:r>
          </w:p>
        </w:tc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Months 2–3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Phase 3: Fusion &amp; Calibration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Inverse-variance fusion, Platt scaling, ECE measurement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Month 3</w:t>
            </w:r>
          </w:p>
        </w:tc>
      </w:tr>
      <w:tr>
        <w:tc>
          <w:tcPr>
            <w:tcW w:type="dxa" w:w="2551"/>
            <w:shd w:val="clear" w:color="auto" w:fill="E8F4F8"/>
          </w:tcPr>
          <w:p>
            <w:r>
              <w:rPr>
                <w:sz w:val="19"/>
              </w:rPr>
              <w:t>Phase 4: App Development</w:t>
            </w:r>
          </w:p>
        </w:tc>
        <w:tc>
          <w:tcPr>
            <w:tcW w:type="dxa" w:w="4819"/>
            <w:shd w:val="clear" w:color="auto" w:fill="E8F4F8"/>
          </w:tcPr>
          <w:p>
            <w:r>
              <w:rPr>
                <w:sz w:val="19"/>
              </w:rPr>
              <w:t>Android app, guided UI, offline inference, PDF export</w:t>
            </w:r>
          </w:p>
        </w:tc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Months 3–4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Phase 5: IRB &amp; Ethics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IRB application, consent form, data protection compliance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Months 2–3 (parallel)</w:t>
            </w:r>
          </w:p>
        </w:tc>
      </w:tr>
      <w:tr>
        <w:tc>
          <w:tcPr>
            <w:tcW w:type="dxa" w:w="2551"/>
            <w:shd w:val="clear" w:color="auto" w:fill="E8F4F8"/>
          </w:tcPr>
          <w:p>
            <w:r>
              <w:rPr>
                <w:sz w:val="19"/>
              </w:rPr>
              <w:t>Phase 6: Field Validation</w:t>
            </w:r>
          </w:p>
        </w:tc>
        <w:tc>
          <w:tcPr>
            <w:tcW w:type="dxa" w:w="4819"/>
            <w:shd w:val="clear" w:color="auto" w:fill="E8F4F8"/>
          </w:tcPr>
          <w:p>
            <w:r>
              <w:rPr>
                <w:sz w:val="19"/>
              </w:rPr>
              <w:t>n=250 Philippine validation at barangay health stations</w:t>
            </w:r>
          </w:p>
        </w:tc>
        <w:tc>
          <w:tcPr>
            <w:tcW w:type="dxa" w:w="1984"/>
            <w:shd w:val="clear" w:color="auto" w:fill="E8F4F8"/>
          </w:tcPr>
          <w:p>
            <w:r>
              <w:rPr>
                <w:sz w:val="19"/>
              </w:rPr>
              <w:t>Months 5–7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Phase 7: Analysis &amp; Reporting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9"/>
              </w:rPr>
              <w:t>STARD report, peer-reviewed manuscript preparation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Months 7–9</w:t>
            </w:r>
          </w:p>
        </w:tc>
      </w:tr>
    </w:tbl>
    <w:p/>
    <w:p>
      <w:pPr>
        <w:spacing w:before="280" w:after="80"/>
      </w:pPr>
      <w:r>
        <w:rPr>
          <w:b/>
          <w:color w:val="1A5676"/>
          <w:sz w:val="28"/>
        </w:rPr>
        <w:t>References</w:t>
      </w:r>
    </w:p>
    <w:p>
      <w:pPr>
        <w:spacing w:before="20" w:after="40"/>
        <w:ind w:left="340" w:hanging="340"/>
      </w:pPr>
      <w:r>
        <w:rPr>
          <w:sz w:val="19"/>
        </w:rPr>
        <w:t>1. WHO (2011). Haemoglobin concentrations for the diagnosis of anaemia and assessment of severity. WHO/NMH/NHD/MNM/11.1.</w:t>
      </w:r>
    </w:p>
    <w:p>
      <w:pPr>
        <w:spacing w:before="20" w:after="40"/>
        <w:ind w:left="340" w:hanging="340"/>
      </w:pPr>
      <w:r>
        <w:rPr>
          <w:sz w:val="19"/>
        </w:rPr>
        <w:t>2. WHO (2013). Pocket book of hospital care for children (2nd ed.). IMCI pallor assessment chapter.</w:t>
      </w:r>
    </w:p>
    <w:p>
      <w:pPr>
        <w:spacing w:before="20" w:after="40"/>
        <w:ind w:left="340" w:hanging="340"/>
      </w:pPr>
      <w:r>
        <w:rPr>
          <w:sz w:val="19"/>
        </w:rPr>
        <w:t>3. Mannino, R. G., et al. (2018). Smartphone app for non-invasive detection of anemia using only patient-sourced photos. Nature Communications, 9, 4924.</w:t>
      </w:r>
    </w:p>
    <w:p>
      <w:pPr>
        <w:spacing w:before="20" w:after="40"/>
        <w:ind w:left="340" w:hanging="340"/>
      </w:pPr>
      <w:r>
        <w:rPr>
          <w:sz w:val="19"/>
        </w:rPr>
        <w:t>4. Kim, T. N., et al. (2020). Smartphone-based assessment of anemia from conjunctival images. PNAS, 117(49), 31046–31055.</w:t>
      </w:r>
    </w:p>
    <w:p>
      <w:pPr>
        <w:spacing w:before="20" w:after="40"/>
        <w:ind w:left="340" w:hanging="340"/>
      </w:pPr>
      <w:r>
        <w:rPr>
          <w:sz w:val="19"/>
        </w:rPr>
        <w:t>5. Kim, T. N., et al. (2023). Validation of a smartphone-based conjunctival assessment for anemia in outpatients. Annals of Internal Medicine, 176(3), 302–310.</w:t>
      </w:r>
    </w:p>
    <w:p>
      <w:pPr>
        <w:spacing w:before="20" w:after="40"/>
        <w:ind w:left="340" w:hanging="340"/>
      </w:pPr>
      <w:r>
        <w:rPr>
          <w:sz w:val="19"/>
        </w:rPr>
        <w:t>6. Dimauro, G., et al. (2018). Ocular redness measurement in non-contact diagnoses of anaemia. Journal of Imaging, 4(8), 95.</w:t>
      </w:r>
    </w:p>
    <w:p>
      <w:pPr>
        <w:spacing w:before="20" w:after="40"/>
        <w:ind w:left="340" w:hanging="340"/>
      </w:pPr>
      <w:r>
        <w:rPr>
          <w:sz w:val="19"/>
        </w:rPr>
        <w:t>7. Valles-Coral, M. A., et al. (2025). AnaeCare: Non-invasive anemia detection from multi-site pallor analysis. arXiv.</w:t>
      </w:r>
    </w:p>
    <w:p>
      <w:pPr>
        <w:spacing w:before="20" w:after="40"/>
        <w:ind w:left="340" w:hanging="340"/>
      </w:pPr>
      <w:r>
        <w:rPr>
          <w:sz w:val="19"/>
        </w:rPr>
        <w:t>8. Suner, S., et al. (2007). Noninvasive determination of hemoglobin by digital photography of palpebral conjunctiva. Journal of Emergency Medicine, 35(4), 359–364.</w:t>
      </w:r>
    </w:p>
    <w:p>
      <w:pPr>
        <w:spacing w:before="20" w:after="40"/>
        <w:ind w:left="340" w:hanging="340"/>
      </w:pPr>
      <w:r>
        <w:rPr>
          <w:sz w:val="19"/>
        </w:rPr>
        <w:t>9. Kalter, H. D., et al. (1997). Evaluation of clinical signs to diagnose anaemia in Uganda and Bangladesh. Bulletin of the World Health Organization, 75(Suppl 1), 103–111.</w:t>
      </w:r>
    </w:p>
    <w:p>
      <w:pPr>
        <w:spacing w:before="20" w:after="40"/>
        <w:ind w:left="340" w:hanging="340"/>
      </w:pPr>
      <w:r>
        <w:rPr>
          <w:sz w:val="19"/>
        </w:rPr>
        <w:t>10. Gal, Y., &amp; Ghahramani, Z. (2016). Dropout as a Bayesian Approximation. ICML 2016, 48, 1050–1059.</w:t>
      </w:r>
    </w:p>
    <w:p>
      <w:pPr>
        <w:spacing w:before="20" w:after="40"/>
        <w:ind w:left="340" w:hanging="340"/>
      </w:pPr>
      <w:r>
        <w:rPr>
          <w:sz w:val="19"/>
        </w:rPr>
        <w:t>11. Platt, J. (1999). Probabilistic outputs for SVMs and regularized likelihood methods. Advances in Large Margin Classifiers.</w:t>
      </w:r>
    </w:p>
    <w:p>
      <w:pPr>
        <w:spacing w:before="20" w:after="40"/>
        <w:ind w:left="340" w:hanging="340"/>
      </w:pPr>
      <w:r>
        <w:rPr>
          <w:sz w:val="19"/>
        </w:rPr>
        <w:t>12. Guo, C., et al. (2017). On calibration of modern neural networks. ICML 2017, 70, 1321–1330.</w:t>
      </w:r>
    </w:p>
    <w:p>
      <w:pPr>
        <w:spacing w:before="20" w:after="40"/>
        <w:ind w:left="340" w:hanging="340"/>
      </w:pPr>
      <w:r>
        <w:rPr>
          <w:sz w:val="19"/>
        </w:rPr>
        <w:t>13. Bishop, C. M. (2006). Pattern Recognition and Machine Learning. Springer. Ch. 2 &amp; 7.</w:t>
      </w:r>
    </w:p>
    <w:p>
      <w:pPr>
        <w:spacing w:before="20" w:after="40"/>
        <w:ind w:left="340" w:hanging="340"/>
      </w:pPr>
      <w:r>
        <w:rPr>
          <w:sz w:val="19"/>
        </w:rPr>
        <w:t>14. Roy, A. G., et al. (2019). Monte Carlo sampling for segmentation quality control. IEEE Trans. Medical Imaging, 38(5), 1218–1230.</w:t>
      </w:r>
    </w:p>
    <w:p>
      <w:pPr>
        <w:spacing w:before="20" w:after="40"/>
        <w:ind w:left="340" w:hanging="340"/>
      </w:pPr>
      <w:r>
        <w:rPr>
          <w:sz w:val="19"/>
        </w:rPr>
        <w:t>15. Obermeyer, Z., et al. (2019). Dissecting racial bias in an algorithm used to manage health. Science, 366(6464), 447–453.</w:t>
      </w:r>
    </w:p>
    <w:p>
      <w:pPr>
        <w:spacing w:before="20" w:after="40"/>
        <w:ind w:left="340" w:hanging="340"/>
      </w:pPr>
      <w:r>
        <w:rPr>
          <w:sz w:val="19"/>
        </w:rPr>
        <w:t>16. FNRI-DOST (2019). Philippine National Nutrition Survey 2018–2019.</w:t>
      </w:r>
    </w:p>
    <w:p>
      <w:pPr>
        <w:spacing w:before="20" w:after="40"/>
        <w:ind w:left="340" w:hanging="340"/>
      </w:pPr>
      <w:r>
        <w:rPr>
          <w:sz w:val="19"/>
        </w:rPr>
        <w:t>17. Huber, P. J. (1964). Robust estimation of a location parameter. Annals of Mathematical Statistics, 35(1), 73–101.</w:t>
      </w:r>
    </w:p>
    <w:p>
      <w:pPr>
        <w:spacing w:before="20" w:after="40"/>
        <w:ind w:left="340" w:hanging="340"/>
      </w:pPr>
      <w:r>
        <w:rPr>
          <w:sz w:val="19"/>
        </w:rPr>
        <w:t>18. Kuleshov, V., et al. (2018). Accurate uncertainties for deep learning using calibrated regression. ICML 2018.</w:t>
      </w:r>
    </w:p>
    <w:p>
      <w:pPr>
        <w:spacing w:before="20" w:after="40"/>
        <w:ind w:left="340" w:hanging="340"/>
      </w:pPr>
      <w:r>
        <w:rPr>
          <w:sz w:val="19"/>
        </w:rPr>
        <w:t>19. Stolz, W., et al. (1993). Color Atlas of Dermatology (Fitzpatrick phototype reference). Blackwell.</w:t>
      </w:r>
    </w:p>
    <w:p>
      <w:pPr>
        <w:spacing w:before="20" w:after="40"/>
        <w:ind w:left="340" w:hanging="340"/>
      </w:pPr>
      <w:r>
        <w:rPr>
          <w:sz w:val="19"/>
        </w:rPr>
        <w:t>20. Strobach, R. S., et al. (1988). The value of the physical examination in diagnosing anemia. JAMA, 259(11), 1682–1685.</w:t>
      </w:r>
    </w:p>
    <w:p>
      <w:pPr>
        <w:spacing w:before="20" w:after="40"/>
        <w:ind w:left="340" w:hanging="340"/>
      </w:pPr>
      <w:r>
        <w:rPr>
          <w:sz w:val="19"/>
        </w:rPr>
        <w:t>21. Luby, S. P., et al. (1995). Using clinical signs to diagnose anaemia in African children. Bulletin of the World Health Organization, 73(4), 477–482.</w:t>
      </w:r>
    </w:p>
    <w:p>
      <w:pPr>
        <w:spacing w:before="20" w:after="40"/>
        <w:ind w:left="340" w:hanging="340"/>
      </w:pPr>
      <w:r>
        <w:rPr>
          <w:sz w:val="19"/>
        </w:rPr>
        <w:t>22. Sheth, P. B., et al. (2017). Non-invasive anemia detection using smartphone-based tongue colorimetry. IEEE JBHI.</w:t>
      </w:r>
    </w:p>
    <w:p>
      <w:pPr>
        <w:spacing w:before="20" w:after="40"/>
        <w:ind w:left="340" w:hanging="340"/>
      </w:pPr>
      <w:r>
        <w:rPr>
          <w:sz w:val="19"/>
        </w:rPr>
        <w:t>23. Allen, J. (2007). Photoplethysmography and its application in clinical physiological measurement. Physiological Measurement, 28(3), R1–R39.</w:t>
      </w:r>
    </w:p>
    <w:p>
      <w:pPr>
        <w:spacing w:before="20" w:after="40"/>
        <w:ind w:left="340" w:hanging="340"/>
      </w:pPr>
      <w:r>
        <w:rPr>
          <w:sz w:val="19"/>
        </w:rPr>
        <w:t>24. Duke, M., &amp; Abelmann, W. H. (1969). The hemodynamic response to chronic anemia. Circulation, 39(4), 503–515.</w:t>
      </w:r>
    </w:p>
    <w:p/>
    <w:p>
      <w:pPr>
        <w:jc w:val="center"/>
      </w:pPr>
      <w:r>
        <w:rPr>
          <w:i/>
          <w:color w:val="358EBE"/>
          <w:sz w:val="18"/>
        </w:rPr>
        <w:t>This document is a living research plan. All claims are bounded by the cited literature. No performance guarantees are made beyond what is demonstrated in peer-reviewed prior work.</w:t>
        <w:br/>
        <w:br/>
        <w:t>DataLunas Research Team, USTP  |  Reviewed in response to mentor directives — October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