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AFD8" w14:textId="77777777" w:rsidR="00906E92" w:rsidRPr="00057A4B" w:rsidRDefault="00000000" w:rsidP="003D323F">
      <w:pPr>
        <w:spacing w:after="40"/>
        <w:jc w:val="center"/>
        <w:rPr>
          <w:sz w:val="32"/>
          <w:szCs w:val="32"/>
        </w:rPr>
      </w:pPr>
      <w:r w:rsidRPr="00057A4B">
        <w:rPr>
          <w:rFonts w:ascii="Garamond" w:hAnsi="Garamond"/>
          <w:b/>
          <w:color w:val="000000"/>
          <w:sz w:val="32"/>
          <w:szCs w:val="32"/>
        </w:rPr>
        <w:t>PHILIPPINE STARTUP CHALLENGE XI</w:t>
      </w:r>
    </w:p>
    <w:p w14:paraId="0538B189" w14:textId="77777777" w:rsidR="00906E92" w:rsidRPr="00057A4B" w:rsidRDefault="00000000" w:rsidP="003D323F">
      <w:pPr>
        <w:spacing w:after="40"/>
        <w:jc w:val="center"/>
        <w:rPr>
          <w:sz w:val="32"/>
          <w:szCs w:val="32"/>
        </w:rPr>
      </w:pPr>
      <w:r w:rsidRPr="00057A4B">
        <w:rPr>
          <w:rFonts w:ascii="Palatino Linotype" w:hAnsi="Palatino Linotype"/>
          <w:color w:val="000000"/>
          <w:sz w:val="32"/>
          <w:szCs w:val="32"/>
        </w:rPr>
        <w:t>DataLunas</w:t>
      </w:r>
    </w:p>
    <w:p w14:paraId="6AFF93DB" w14:textId="77777777" w:rsidR="00906E92" w:rsidRPr="00057A4B" w:rsidRDefault="00000000" w:rsidP="003D323F">
      <w:pPr>
        <w:spacing w:after="40"/>
        <w:jc w:val="center"/>
        <w:rPr>
          <w:rFonts w:ascii="Palatino Linotype" w:hAnsi="Palatino Linotype"/>
          <w:color w:val="000000"/>
          <w:sz w:val="32"/>
          <w:szCs w:val="32"/>
        </w:rPr>
      </w:pPr>
      <w:proofErr w:type="spellStart"/>
      <w:r w:rsidRPr="00057A4B">
        <w:rPr>
          <w:rFonts w:ascii="Palatino Linotype" w:hAnsi="Palatino Linotype"/>
          <w:color w:val="000000"/>
          <w:sz w:val="32"/>
          <w:szCs w:val="32"/>
        </w:rPr>
        <w:t>TingínHB</w:t>
      </w:r>
      <w:proofErr w:type="spellEnd"/>
    </w:p>
    <w:p w14:paraId="58157F4F" w14:textId="77777777" w:rsidR="00057A4B" w:rsidRDefault="00057A4B" w:rsidP="003D323F">
      <w:pPr>
        <w:spacing w:after="40"/>
        <w:jc w:val="both"/>
      </w:pPr>
    </w:p>
    <w:p w14:paraId="69D83683" w14:textId="77777777" w:rsidR="00906E92" w:rsidRDefault="00000000" w:rsidP="003D323F">
      <w:pPr>
        <w:spacing w:after="280"/>
        <w:jc w:val="both"/>
      </w:pPr>
      <w:r>
        <w:rPr>
          <w:rFonts w:ascii="Palatino Linotype" w:hAnsi="Palatino Linotype"/>
          <w:b/>
          <w:color w:val="000000"/>
        </w:rPr>
        <w:t>CONCEPT NOTE</w:t>
      </w:r>
    </w:p>
    <w:p w14:paraId="26B02678" w14:textId="77777777" w:rsidR="00906E92" w:rsidRDefault="00000000" w:rsidP="003D323F">
      <w:pPr>
        <w:spacing w:before="240" w:after="80"/>
        <w:jc w:val="both"/>
      </w:pPr>
      <w:r>
        <w:rPr>
          <w:rFonts w:ascii="Palatino Linotype" w:hAnsi="Palatino Linotype"/>
          <w:b/>
          <w:color w:val="000000"/>
        </w:rPr>
        <w:t>I. SUMMARY</w:t>
      </w:r>
    </w:p>
    <w:p w14:paraId="4EC08C21" w14:textId="77777777" w:rsidR="00906E92" w:rsidRDefault="00000000" w:rsidP="003D323F">
      <w:pPr>
        <w:spacing w:after="120"/>
        <w:ind w:left="720"/>
        <w:jc w:val="both"/>
      </w:pPr>
      <w:r>
        <w:rPr>
          <w:rFonts w:ascii="Palatino Linotype" w:hAnsi="Palatino Linotype"/>
          <w:color w:val="000000"/>
        </w:rPr>
        <w:t>Philippine maternal mortality is a solvable crisis — and TingínHB is the unlock. Every year, more than 2,000 Filipino mothers die from Postpartum Hemorrhage (PPH), the country's leading obstetric killer. The root cause hiding in plain sight: 21.8% of pregnant women enter labor severely anemic (DOST-FNRI, 2024), yet over 200,000 Barangay Health Workers (BHWs) — the frontline workforce that sees these mothers first — have no affordable, reliable tool to detect it.</w:t>
      </w:r>
    </w:p>
    <w:p w14:paraId="4BCCB337" w14:textId="77777777" w:rsidR="00906E92" w:rsidRDefault="00000000" w:rsidP="003D323F">
      <w:pPr>
        <w:spacing w:after="120"/>
        <w:ind w:left="720"/>
        <w:jc w:val="both"/>
      </w:pPr>
      <w:r>
        <w:rPr>
          <w:rFonts w:ascii="Palatino Linotype" w:hAnsi="Palatino Linotype"/>
          <w:color w:val="000000"/>
        </w:rPr>
        <w:t>TingínHB ("See" + hemoglobin) is a non-invasive, edge-AI hemoglobin screening app that runs 100% on a standard ₱5,000 Android smartphone. Point the camera at a patient's inner lower eyelid or fingernail, and in under 2 seconds — with zero blood draw, zero disposable strips, and zero internet — TingínHB delivers a WHO-tier risk classification and, for high-risk patients, auto-generates a PhilHealth Konsulta referral PDF ready for submission. The cost per screening: ₱0.00.</w:t>
      </w:r>
    </w:p>
    <w:p w14:paraId="07042E09" w14:textId="77777777" w:rsidR="00906E92" w:rsidRDefault="00000000" w:rsidP="003D323F">
      <w:pPr>
        <w:spacing w:after="240"/>
        <w:ind w:left="720"/>
        <w:jc w:val="both"/>
      </w:pPr>
      <w:r>
        <w:rPr>
          <w:rFonts w:ascii="Palatino Linotype" w:hAnsi="Palatino Linotype"/>
          <w:color w:val="000000"/>
        </w:rPr>
        <w:t>Built by data science students at USTP for the realities of Philippine primary care, TingínHB is the only anemia screener that (1) evaluates two complementary body sites to handle real clinical scenarios, (2) requires no prior laboratory calibration, (3) is melanin-independent across all Filipino skin tones, and (4) is wired into Philippine health policy from day one — aligned with RA 11148, RA 11223, and PhilHealth Konsulta workflows.</w:t>
      </w:r>
    </w:p>
    <w:p w14:paraId="4666B5B5" w14:textId="77777777" w:rsidR="00906E92" w:rsidRDefault="00000000" w:rsidP="003D323F">
      <w:pPr>
        <w:spacing w:before="240" w:after="80"/>
        <w:jc w:val="both"/>
      </w:pPr>
      <w:r>
        <w:rPr>
          <w:rFonts w:ascii="Palatino Linotype" w:hAnsi="Palatino Linotype"/>
          <w:b/>
          <w:color w:val="000000"/>
        </w:rPr>
        <w:t>II. BACKGROUND OF THE PROBLEM</w:t>
      </w:r>
    </w:p>
    <w:p w14:paraId="6D55C18F" w14:textId="77777777" w:rsidR="00906E92" w:rsidRDefault="00000000" w:rsidP="003D323F">
      <w:pPr>
        <w:spacing w:after="120"/>
        <w:ind w:left="720"/>
        <w:jc w:val="both"/>
      </w:pPr>
      <w:r>
        <w:rPr>
          <w:rFonts w:ascii="Palatino Linotype" w:hAnsi="Palatino Linotype"/>
          <w:color w:val="000000"/>
        </w:rPr>
        <w:t>The Philippines loses more than 2,000 mothers annually to Postpartum Hemorrhage — a condition whose lethality is dramatically amplified by anemia. An anemic mother (Hb &lt;9.0 g/dL) faces 2.5–4.0× higher odds of a fatal delivery outcome, because severe iron deficiency strips the uterine muscle of the energy needed to contract after birth, causing uncontrolled hemorrhage. Despite this, 21.8% of pregnant Filipino women enter labor in this state (DOST-FNRI, 2024).</w:t>
      </w:r>
    </w:p>
    <w:p w14:paraId="0DEF7EDE" w14:textId="77777777" w:rsidR="00906E92" w:rsidRDefault="00000000" w:rsidP="003D323F">
      <w:pPr>
        <w:spacing w:after="120"/>
        <w:ind w:left="720"/>
        <w:jc w:val="both"/>
      </w:pPr>
      <w:r>
        <w:rPr>
          <w:rFonts w:ascii="Palatino Linotype" w:hAnsi="Palatino Linotype"/>
          <w:color w:val="000000"/>
        </w:rPr>
        <w:t xml:space="preserve">The damage extends across generations. 40–45% of Filipino infants aged 6–11 months are anemic, causing irreversible IQ loss of 5–10 points that no amount </w:t>
      </w:r>
      <w:r>
        <w:rPr>
          <w:rFonts w:ascii="Palatino Linotype" w:hAnsi="Palatino Linotype"/>
          <w:color w:val="000000"/>
        </w:rPr>
        <w:lastRenderedPageBreak/>
        <w:t>of later iron supplementation can undo. 15–20% of adolescent girls are anemic, entering their first pregnancies already iron-depleted. The World Bank estimates iron deficiency anemia costs developing nations 1.5–4.0% of GDP annually in lost cognitive and physical productivity.</w:t>
      </w:r>
    </w:p>
    <w:p w14:paraId="37E2BE20" w14:textId="77777777" w:rsidR="00906E92" w:rsidRDefault="00000000" w:rsidP="003D323F">
      <w:pPr>
        <w:spacing w:after="120"/>
        <w:ind w:left="720"/>
        <w:jc w:val="both"/>
      </w:pPr>
      <w:r>
        <w:rPr>
          <w:rFonts w:ascii="Palatino Linotype" w:hAnsi="Palatino Linotype"/>
          <w:color w:val="000000"/>
        </w:rPr>
        <w:t>Yet the diagnostic infrastructure to catch this crisis early is catastrophically underfunded at the community level:</w:t>
      </w:r>
    </w:p>
    <w:p w14:paraId="10A4A34D"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Gold-standard CBC tests cost ₱200–350 per test and are only available at RHU level and above.</w:t>
      </w:r>
    </w:p>
    <w:p w14:paraId="17197400"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HemoCue point-of-care analyzers — the next best option — cost ₱70,000–125,000 per device plus ₱105–150 per single-use microcuvette, creating chronic stockouts at Barangay Health Stations.</w:t>
      </w:r>
    </w:p>
    <w:p w14:paraId="4683F23A"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The only free alternative — naked-eye visual pallor assessment — misses more than 50% of anemic cases. Clinical research shows sensitivity of just 10–60% and inter-observer agreement of κ = 0.20–0.45 (Poor/Slight).</w:t>
      </w:r>
    </w:p>
    <w:p w14:paraId="4EF066D2"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40% of Filipinos live in rural areas served by only ~10% of the country's physicians — physician density in GIDA provinces drops below 1 per 20,000 population.</w:t>
      </w:r>
    </w:p>
    <w:p w14:paraId="77A578A0" w14:textId="77777777" w:rsidR="00906E92" w:rsidRDefault="00000000" w:rsidP="003D323F">
      <w:pPr>
        <w:spacing w:after="240"/>
        <w:ind w:left="720"/>
        <w:jc w:val="both"/>
      </w:pPr>
      <w:r>
        <w:rPr>
          <w:rFonts w:ascii="Palatino Linotype" w:hAnsi="Palatino Linotype"/>
          <w:color w:val="000000"/>
        </w:rPr>
        <w:t>The result: high-risk anemic mothers and infants go undetected until acute clinical crisis, when intervention is too late. TingínHB exists to break this chain.</w:t>
      </w:r>
    </w:p>
    <w:p w14:paraId="2211995F" w14:textId="77777777" w:rsidR="00906E92" w:rsidRDefault="00000000" w:rsidP="003D323F">
      <w:pPr>
        <w:spacing w:before="240" w:after="80"/>
        <w:jc w:val="both"/>
      </w:pPr>
      <w:r>
        <w:rPr>
          <w:rFonts w:ascii="Palatino Linotype" w:hAnsi="Palatino Linotype"/>
          <w:b/>
          <w:color w:val="000000"/>
        </w:rPr>
        <w:t>III. PROPOSED STARTUP SOLUTION</w:t>
      </w:r>
    </w:p>
    <w:p w14:paraId="1835A61C" w14:textId="77777777" w:rsidR="00906E92" w:rsidRDefault="00000000" w:rsidP="003D323F">
      <w:pPr>
        <w:spacing w:after="120"/>
        <w:ind w:left="720"/>
        <w:jc w:val="both"/>
      </w:pPr>
      <w:r>
        <w:rPr>
          <w:rFonts w:ascii="Palatino Linotype" w:hAnsi="Palatino Linotype"/>
          <w:color w:val="000000"/>
        </w:rPr>
        <w:t>TingínHB digitizes the expert physician's pallor examination into an automated AI workflow that any BHW can perform in under 30 seconds of training. The app uses a smartphone's rear camera and built-in flash to photograph two clinically proven microvascular sites, then runs two lightweight neural networks entirely on-device (13.3 MB total, &lt;2 seconds, zero cloud dependency) to estimate hemoglobin concentration and classify risk.</w:t>
      </w:r>
    </w:p>
    <w:p w14:paraId="5D32366B" w14:textId="77777777" w:rsidR="00906E92" w:rsidRDefault="00000000" w:rsidP="003D323F">
      <w:pPr>
        <w:spacing w:after="60"/>
        <w:ind w:left="720"/>
        <w:jc w:val="both"/>
      </w:pPr>
      <w:r>
        <w:rPr>
          <w:rFonts w:ascii="Palatino Linotype" w:hAnsi="Palatino Linotype"/>
          <w:color w:val="000000"/>
        </w:rPr>
        <w:t>Two Imaging Sites — One Smarter Answer:</w:t>
      </w:r>
    </w:p>
    <w:p w14:paraId="6A5E9430"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Primary Site — Palpebral Conjunctiva (inner lower eyelid): Zero melanin pigment means skin tone has zero effect on accuracy — critical for Filipino Fitzpatrick III–VI complexions. The adjacent white sclera acts as a built-in color calibration reference in every frame, eliminating external calibration cards entirely.</w:t>
      </w:r>
    </w:p>
    <w:p w14:paraId="4967F62A"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Complementary Site — Fingernail Bed: A non-intrusive fallback for pediatric patients, patients with eye infections, or when eyelid eversion is impractical. Enables screening of infants as young as 6 months without distress.</w:t>
      </w:r>
    </w:p>
    <w:p w14:paraId="345B8559"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lastRenderedPageBreak/>
        <w:t>Dual-Site Fusion: When both sites are captured, an inverse-variance weighted fusion engine combines both estimates into a higher-confidence reading, with automatic flagging when the two sites disagree significantly.</w:t>
      </w:r>
    </w:p>
    <w:p w14:paraId="361763E0" w14:textId="77777777" w:rsidR="00906E92" w:rsidRDefault="00000000" w:rsidP="003D323F">
      <w:pPr>
        <w:spacing w:after="60"/>
        <w:ind w:left="720"/>
        <w:jc w:val="both"/>
      </w:pPr>
      <w:r>
        <w:rPr>
          <w:rFonts w:ascii="Palatino Linotype" w:hAnsi="Palatino Linotype"/>
          <w:color w:val="000000"/>
        </w:rPr>
        <w:t>Clinical Output — Four-Tier Risk Classification:</w:t>
      </w:r>
    </w:p>
    <w:tbl>
      <w:tblPr>
        <w:tblStyle w:val="TableGrid"/>
        <w:tblW w:w="8727" w:type="dxa"/>
        <w:tblInd w:w="720" w:type="dxa"/>
        <w:tblLook w:val="04A0" w:firstRow="1" w:lastRow="0" w:firstColumn="1" w:lastColumn="0" w:noHBand="0" w:noVBand="1"/>
      </w:tblPr>
      <w:tblGrid>
        <w:gridCol w:w="1818"/>
        <w:gridCol w:w="1530"/>
        <w:gridCol w:w="1800"/>
        <w:gridCol w:w="3579"/>
      </w:tblGrid>
      <w:tr w:rsidR="00906E92" w14:paraId="17B58A32" w14:textId="77777777" w:rsidTr="00B95071">
        <w:tc>
          <w:tcPr>
            <w:tcW w:w="1818" w:type="dxa"/>
          </w:tcPr>
          <w:p w14:paraId="3A5F5939" w14:textId="77777777" w:rsidR="00906E92" w:rsidRDefault="00000000" w:rsidP="003D323F">
            <w:pPr>
              <w:spacing w:line="276" w:lineRule="auto"/>
              <w:jc w:val="both"/>
            </w:pPr>
            <w:r>
              <w:rPr>
                <w:rFonts w:ascii="Palatino Linotype" w:hAnsi="Palatino Linotype"/>
                <w:b/>
                <w:sz w:val="20"/>
              </w:rPr>
              <w:t>Tier</w:t>
            </w:r>
          </w:p>
        </w:tc>
        <w:tc>
          <w:tcPr>
            <w:tcW w:w="1530" w:type="dxa"/>
          </w:tcPr>
          <w:p w14:paraId="76EEB92B" w14:textId="77777777" w:rsidR="00906E92" w:rsidRDefault="00000000" w:rsidP="003D323F">
            <w:pPr>
              <w:spacing w:line="276" w:lineRule="auto"/>
              <w:jc w:val="both"/>
            </w:pPr>
            <w:r>
              <w:rPr>
                <w:rFonts w:ascii="Palatino Linotype" w:hAnsi="Palatino Linotype"/>
                <w:b/>
                <w:sz w:val="20"/>
              </w:rPr>
              <w:t>Hb Range</w:t>
            </w:r>
          </w:p>
        </w:tc>
        <w:tc>
          <w:tcPr>
            <w:tcW w:w="1800" w:type="dxa"/>
          </w:tcPr>
          <w:p w14:paraId="3F42A22E" w14:textId="77777777" w:rsidR="00906E92" w:rsidRDefault="00000000" w:rsidP="003D323F">
            <w:pPr>
              <w:spacing w:line="276" w:lineRule="auto"/>
              <w:jc w:val="both"/>
            </w:pPr>
            <w:r>
              <w:rPr>
                <w:rFonts w:ascii="Palatino Linotype" w:hAnsi="Palatino Linotype"/>
                <w:b/>
                <w:sz w:val="20"/>
              </w:rPr>
              <w:t>Classification</w:t>
            </w:r>
          </w:p>
        </w:tc>
        <w:tc>
          <w:tcPr>
            <w:tcW w:w="3579" w:type="dxa"/>
          </w:tcPr>
          <w:p w14:paraId="7A54866A" w14:textId="77777777" w:rsidR="00906E92" w:rsidRDefault="00000000" w:rsidP="003D323F">
            <w:pPr>
              <w:spacing w:line="276" w:lineRule="auto"/>
              <w:jc w:val="both"/>
            </w:pPr>
            <w:r>
              <w:rPr>
                <w:rFonts w:ascii="Palatino Linotype" w:hAnsi="Palatino Linotype"/>
                <w:b/>
                <w:sz w:val="20"/>
              </w:rPr>
              <w:t>Action</w:t>
            </w:r>
          </w:p>
        </w:tc>
      </w:tr>
      <w:tr w:rsidR="00906E92" w14:paraId="1DABD8A4" w14:textId="77777777" w:rsidTr="00B95071">
        <w:tc>
          <w:tcPr>
            <w:tcW w:w="1818" w:type="dxa"/>
          </w:tcPr>
          <w:p w14:paraId="2A83530B" w14:textId="77777777" w:rsidR="00906E92" w:rsidRDefault="00000000" w:rsidP="003D323F">
            <w:pPr>
              <w:spacing w:line="276" w:lineRule="auto"/>
              <w:jc w:val="both"/>
            </w:pPr>
            <w:proofErr w:type="gramStart"/>
            <w:r>
              <w:rPr>
                <w:rFonts w:ascii="Palatino Linotype" w:hAnsi="Palatino Linotype"/>
                <w:sz w:val="20"/>
              </w:rPr>
              <w:t>🟢  NORMAL</w:t>
            </w:r>
            <w:proofErr w:type="gramEnd"/>
          </w:p>
        </w:tc>
        <w:tc>
          <w:tcPr>
            <w:tcW w:w="1530" w:type="dxa"/>
          </w:tcPr>
          <w:p w14:paraId="0B158D4A" w14:textId="77777777" w:rsidR="00906E92" w:rsidRDefault="00000000" w:rsidP="003D323F">
            <w:pPr>
              <w:spacing w:line="276" w:lineRule="auto"/>
              <w:jc w:val="both"/>
            </w:pPr>
            <w:r>
              <w:rPr>
                <w:rFonts w:ascii="Palatino Linotype" w:hAnsi="Palatino Linotype"/>
                <w:sz w:val="20"/>
              </w:rPr>
              <w:t>≥ 11.0 g/dL</w:t>
            </w:r>
          </w:p>
        </w:tc>
        <w:tc>
          <w:tcPr>
            <w:tcW w:w="1800" w:type="dxa"/>
          </w:tcPr>
          <w:p w14:paraId="54D9FD83" w14:textId="77777777" w:rsidR="00906E92" w:rsidRDefault="00000000" w:rsidP="003D323F">
            <w:pPr>
              <w:spacing w:line="276" w:lineRule="auto"/>
              <w:jc w:val="both"/>
            </w:pPr>
            <w:r>
              <w:rPr>
                <w:rFonts w:ascii="Palatino Linotype" w:hAnsi="Palatino Linotype"/>
                <w:sz w:val="20"/>
              </w:rPr>
              <w:t>Non-Anemic</w:t>
            </w:r>
          </w:p>
        </w:tc>
        <w:tc>
          <w:tcPr>
            <w:tcW w:w="3579" w:type="dxa"/>
          </w:tcPr>
          <w:p w14:paraId="49DF7C2E" w14:textId="77777777" w:rsidR="00906E92" w:rsidRDefault="00000000" w:rsidP="003D323F">
            <w:pPr>
              <w:spacing w:line="276" w:lineRule="auto"/>
              <w:jc w:val="both"/>
            </w:pPr>
            <w:r>
              <w:rPr>
                <w:rFonts w:ascii="Palatino Linotype" w:hAnsi="Palatino Linotype"/>
                <w:sz w:val="20"/>
              </w:rPr>
              <w:t>Continue standard ANC + Iron-Folic Acid Supplementation</w:t>
            </w:r>
          </w:p>
        </w:tc>
      </w:tr>
      <w:tr w:rsidR="00906E92" w14:paraId="221527F4" w14:textId="77777777" w:rsidTr="00B95071">
        <w:tc>
          <w:tcPr>
            <w:tcW w:w="1818" w:type="dxa"/>
          </w:tcPr>
          <w:p w14:paraId="64A2BC94" w14:textId="77777777" w:rsidR="00906E92" w:rsidRDefault="00000000" w:rsidP="003D323F">
            <w:pPr>
              <w:spacing w:line="276" w:lineRule="auto"/>
              <w:jc w:val="both"/>
            </w:pPr>
            <w:r>
              <w:rPr>
                <w:rFonts w:ascii="Palatino Linotype" w:hAnsi="Palatino Linotype"/>
                <w:sz w:val="20"/>
              </w:rPr>
              <w:t>🟡  MILD</w:t>
            </w:r>
          </w:p>
        </w:tc>
        <w:tc>
          <w:tcPr>
            <w:tcW w:w="1530" w:type="dxa"/>
          </w:tcPr>
          <w:p w14:paraId="52297206" w14:textId="77777777" w:rsidR="00906E92" w:rsidRDefault="00000000" w:rsidP="003D323F">
            <w:pPr>
              <w:spacing w:line="276" w:lineRule="auto"/>
              <w:jc w:val="both"/>
            </w:pPr>
            <w:r>
              <w:rPr>
                <w:rFonts w:ascii="Palatino Linotype" w:hAnsi="Palatino Linotype"/>
                <w:sz w:val="20"/>
              </w:rPr>
              <w:t>10.0–10.9 g/dL</w:t>
            </w:r>
          </w:p>
        </w:tc>
        <w:tc>
          <w:tcPr>
            <w:tcW w:w="1800" w:type="dxa"/>
          </w:tcPr>
          <w:p w14:paraId="1B083E7A" w14:textId="77777777" w:rsidR="00906E92" w:rsidRDefault="00000000" w:rsidP="003D323F">
            <w:pPr>
              <w:spacing w:line="276" w:lineRule="auto"/>
              <w:jc w:val="both"/>
            </w:pPr>
            <w:r>
              <w:rPr>
                <w:rFonts w:ascii="Palatino Linotype" w:hAnsi="Palatino Linotype"/>
                <w:sz w:val="20"/>
              </w:rPr>
              <w:t>Mild Anemia</w:t>
            </w:r>
          </w:p>
        </w:tc>
        <w:tc>
          <w:tcPr>
            <w:tcW w:w="3579" w:type="dxa"/>
          </w:tcPr>
          <w:p w14:paraId="2651902F" w14:textId="77777777" w:rsidR="00906E92" w:rsidRDefault="00000000" w:rsidP="003D323F">
            <w:pPr>
              <w:spacing w:line="276" w:lineRule="auto"/>
              <w:jc w:val="both"/>
            </w:pPr>
            <w:r>
              <w:rPr>
                <w:rFonts w:ascii="Palatino Linotype" w:hAnsi="Palatino Linotype"/>
                <w:sz w:val="20"/>
              </w:rPr>
              <w:t>Review IFAS adherence; reinforce diet; schedule follow-up</w:t>
            </w:r>
          </w:p>
        </w:tc>
      </w:tr>
      <w:tr w:rsidR="00906E92" w14:paraId="71CA92F8" w14:textId="77777777" w:rsidTr="00B95071">
        <w:tc>
          <w:tcPr>
            <w:tcW w:w="1818" w:type="dxa"/>
          </w:tcPr>
          <w:p w14:paraId="20AA7D0E" w14:textId="77777777" w:rsidR="00906E92" w:rsidRDefault="00000000" w:rsidP="003D323F">
            <w:pPr>
              <w:spacing w:line="276" w:lineRule="auto"/>
              <w:jc w:val="both"/>
            </w:pPr>
            <w:r>
              <w:rPr>
                <w:rFonts w:ascii="Palatino Linotype" w:hAnsi="Palatino Linotype"/>
                <w:sz w:val="20"/>
              </w:rPr>
              <w:t>🟠  MODERATE</w:t>
            </w:r>
          </w:p>
        </w:tc>
        <w:tc>
          <w:tcPr>
            <w:tcW w:w="1530" w:type="dxa"/>
          </w:tcPr>
          <w:p w14:paraId="478C4B84" w14:textId="77777777" w:rsidR="00906E92" w:rsidRDefault="00000000" w:rsidP="003D323F">
            <w:pPr>
              <w:spacing w:line="276" w:lineRule="auto"/>
              <w:jc w:val="both"/>
            </w:pPr>
            <w:r>
              <w:rPr>
                <w:rFonts w:ascii="Palatino Linotype" w:hAnsi="Palatino Linotype"/>
                <w:sz w:val="20"/>
              </w:rPr>
              <w:t>7.0–9.9 g/dL</w:t>
            </w:r>
          </w:p>
        </w:tc>
        <w:tc>
          <w:tcPr>
            <w:tcW w:w="1800" w:type="dxa"/>
          </w:tcPr>
          <w:p w14:paraId="6C39E117" w14:textId="77777777" w:rsidR="00906E92" w:rsidRDefault="00000000" w:rsidP="003D323F">
            <w:pPr>
              <w:spacing w:line="276" w:lineRule="auto"/>
              <w:jc w:val="both"/>
            </w:pPr>
            <w:r>
              <w:rPr>
                <w:rFonts w:ascii="Palatino Linotype" w:hAnsi="Palatino Linotype"/>
                <w:sz w:val="20"/>
              </w:rPr>
              <w:t>Moderate Anemia</w:t>
            </w:r>
          </w:p>
        </w:tc>
        <w:tc>
          <w:tcPr>
            <w:tcW w:w="3579" w:type="dxa"/>
          </w:tcPr>
          <w:p w14:paraId="037D1CE8" w14:textId="77777777" w:rsidR="00906E92" w:rsidRDefault="00000000" w:rsidP="003D323F">
            <w:pPr>
              <w:spacing w:line="276" w:lineRule="auto"/>
              <w:jc w:val="both"/>
            </w:pPr>
            <w:r>
              <w:rPr>
                <w:rFonts w:ascii="Palatino Linotype" w:hAnsi="Palatino Linotype"/>
                <w:sz w:val="20"/>
              </w:rPr>
              <w:t>REFER to RHU for confirmatory CBC and clinical assessment</w:t>
            </w:r>
          </w:p>
        </w:tc>
      </w:tr>
      <w:tr w:rsidR="00906E92" w14:paraId="43321CF8" w14:textId="77777777" w:rsidTr="00B95071">
        <w:tc>
          <w:tcPr>
            <w:tcW w:w="1818" w:type="dxa"/>
          </w:tcPr>
          <w:p w14:paraId="0375381F" w14:textId="77777777" w:rsidR="00906E92" w:rsidRDefault="00000000" w:rsidP="003D323F">
            <w:pPr>
              <w:spacing w:line="276" w:lineRule="auto"/>
              <w:jc w:val="both"/>
            </w:pPr>
            <w:r>
              <w:rPr>
                <w:rFonts w:ascii="Palatino Linotype" w:hAnsi="Palatino Linotype"/>
                <w:sz w:val="20"/>
              </w:rPr>
              <w:t>🔴  SEVERE</w:t>
            </w:r>
          </w:p>
        </w:tc>
        <w:tc>
          <w:tcPr>
            <w:tcW w:w="1530" w:type="dxa"/>
          </w:tcPr>
          <w:p w14:paraId="42F6B2D6" w14:textId="77777777" w:rsidR="00906E92" w:rsidRDefault="00000000" w:rsidP="003D323F">
            <w:pPr>
              <w:spacing w:line="276" w:lineRule="auto"/>
              <w:jc w:val="both"/>
            </w:pPr>
            <w:r>
              <w:rPr>
                <w:rFonts w:ascii="Palatino Linotype" w:hAnsi="Palatino Linotype"/>
                <w:sz w:val="20"/>
              </w:rPr>
              <w:t>&lt; 7.0 g/dL</w:t>
            </w:r>
          </w:p>
        </w:tc>
        <w:tc>
          <w:tcPr>
            <w:tcW w:w="1800" w:type="dxa"/>
          </w:tcPr>
          <w:p w14:paraId="0D3790B7" w14:textId="77777777" w:rsidR="00906E92" w:rsidRDefault="00000000" w:rsidP="003D323F">
            <w:pPr>
              <w:spacing w:line="276" w:lineRule="auto"/>
              <w:jc w:val="both"/>
            </w:pPr>
            <w:r>
              <w:rPr>
                <w:rFonts w:ascii="Palatino Linotype" w:hAnsi="Palatino Linotype"/>
                <w:sz w:val="20"/>
              </w:rPr>
              <w:t>Severe Anemia</w:t>
            </w:r>
          </w:p>
        </w:tc>
        <w:tc>
          <w:tcPr>
            <w:tcW w:w="3579" w:type="dxa"/>
          </w:tcPr>
          <w:p w14:paraId="27B76F35" w14:textId="77777777" w:rsidR="00906E92" w:rsidRDefault="00000000" w:rsidP="003D323F">
            <w:pPr>
              <w:spacing w:line="276" w:lineRule="auto"/>
              <w:jc w:val="both"/>
            </w:pPr>
            <w:r>
              <w:rPr>
                <w:rFonts w:ascii="Palatino Linotype" w:hAnsi="Palatino Linotype"/>
                <w:sz w:val="20"/>
              </w:rPr>
              <w:t>URGENT referral to District Hospital. High PPH risk.</w:t>
            </w:r>
          </w:p>
        </w:tc>
      </w:tr>
    </w:tbl>
    <w:p w14:paraId="748E3254" w14:textId="77777777" w:rsidR="00906E92" w:rsidRDefault="00906E92" w:rsidP="003D323F">
      <w:pPr>
        <w:ind w:left="720"/>
        <w:jc w:val="both"/>
      </w:pPr>
    </w:p>
    <w:p w14:paraId="0E2DB15C" w14:textId="77777777" w:rsidR="00906E92" w:rsidRDefault="00000000" w:rsidP="003D323F">
      <w:pPr>
        <w:spacing w:after="120"/>
        <w:ind w:left="720"/>
        <w:jc w:val="both"/>
      </w:pPr>
      <w:r>
        <w:rPr>
          <w:rFonts w:ascii="Palatino Linotype" w:hAnsi="Palatino Linotype"/>
          <w:color w:val="000000"/>
        </w:rPr>
        <w:t>For every Orange or Red patient, TingínHB auto-generates a standardized PhilHealth Konsulta referral PDF — prefilled with demographics, hemoglobin estimate, gestational age, and MUAC — ready for submission to an accredited facility. No typing, no forms, no delay.</w:t>
      </w:r>
    </w:p>
    <w:p w14:paraId="09F9DF2E" w14:textId="77777777" w:rsidR="00906E92" w:rsidRDefault="00000000" w:rsidP="003D323F">
      <w:pPr>
        <w:spacing w:after="240"/>
        <w:ind w:left="720"/>
        <w:jc w:val="both"/>
      </w:pPr>
      <w:r>
        <w:rPr>
          <w:rFonts w:ascii="Palatino Linotype" w:hAnsi="Palatino Linotype"/>
          <w:color w:val="000000"/>
        </w:rPr>
        <w:t>SDG Alignment: SDG 3.1 (Reduce Maternal Mortality Ratio), SDG 3.2 (End Preventable Child Deaths), SDG 3.8 (Universal Health Coverage), SDG 10.3 (Reduce Inequalities in Health Access).</w:t>
      </w:r>
    </w:p>
    <w:p w14:paraId="51F3A97F" w14:textId="77777777" w:rsidR="00906E92" w:rsidRDefault="00000000" w:rsidP="003D323F">
      <w:pPr>
        <w:spacing w:before="240" w:after="80"/>
        <w:jc w:val="both"/>
      </w:pPr>
      <w:r>
        <w:rPr>
          <w:rFonts w:ascii="Palatino Linotype" w:hAnsi="Palatino Linotype"/>
          <w:b/>
          <w:color w:val="000000"/>
        </w:rPr>
        <w:t>IV. OBJECTIVES</w:t>
      </w:r>
    </w:p>
    <w:p w14:paraId="0BBA5969"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Eliminate per-test cost barriers: Deploy a ₱0-per-screening hemoglobin screening tool to replace ₱150/cuvette consumable-dependent methods at BHS and RHU level.</w:t>
      </w:r>
    </w:p>
    <w:p w14:paraId="0704D6AF"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Dramatically reduce missed diagnoses: Achieve ≥90% sensitivity for moderate-to-severe anemia (Hb &lt;9.0 g/dL), up from the 10–60% sensitivity of naked-eye visual pallor.</w:t>
      </w:r>
    </w:p>
    <w:p w14:paraId="5FAC9A44"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Accelerate referrals for high-risk patients: Cut time-to-referral for Orange/Red-tier patients through one-tap auto-generation of PhilHealth Konsulta referral documents.</w:t>
      </w:r>
    </w:p>
    <w:p w14:paraId="7BA7005C"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Deploy in zero-connectivity GIDA communities: Operate 100% offline with a 13.3 MB on-device AI stack runnable on entry-level ₱5,000 Android devices.</w:t>
      </w:r>
    </w:p>
    <w:p w14:paraId="50C5CB92" w14:textId="77777777" w:rsidR="00906E92" w:rsidRDefault="00000000" w:rsidP="003D323F">
      <w:pPr>
        <w:pStyle w:val="ListBullet"/>
        <w:tabs>
          <w:tab w:val="clear" w:pos="360"/>
          <w:tab w:val="num" w:pos="720"/>
        </w:tabs>
        <w:spacing w:after="240"/>
        <w:ind w:left="720"/>
        <w:jc w:val="both"/>
      </w:pPr>
      <w:r>
        <w:rPr>
          <w:rFonts w:ascii="Palatino Linotype" w:hAnsi="Palatino Linotype"/>
          <w:color w:val="000000"/>
        </w:rPr>
        <w:t>Validate Philippine-specific performance: Complete a field validation study (n ≥ 100, paired with laboratory CBC ground truth) within 12 months of prototype completion.</w:t>
      </w:r>
    </w:p>
    <w:p w14:paraId="4F1F8D82" w14:textId="77777777" w:rsidR="00906E92" w:rsidRDefault="00000000" w:rsidP="003D323F">
      <w:pPr>
        <w:spacing w:before="240" w:after="80"/>
        <w:jc w:val="both"/>
      </w:pPr>
      <w:r>
        <w:rPr>
          <w:rFonts w:ascii="Palatino Linotype" w:hAnsi="Palatino Linotype"/>
          <w:b/>
          <w:color w:val="000000"/>
        </w:rPr>
        <w:t>V. TARGET MARKET / BENEFICIARIES</w:t>
      </w:r>
    </w:p>
    <w:p w14:paraId="08849C88" w14:textId="77777777" w:rsidR="00906E92" w:rsidRDefault="00000000" w:rsidP="003D323F">
      <w:pPr>
        <w:spacing w:after="120"/>
        <w:ind w:left="360"/>
        <w:jc w:val="both"/>
      </w:pPr>
      <w:r>
        <w:rPr>
          <w:rFonts w:ascii="Palatino Linotype" w:hAnsi="Palatino Linotype"/>
          <w:color w:val="000000"/>
        </w:rPr>
        <w:t>Primary Users (who operate TingínHB):</w:t>
      </w:r>
    </w:p>
    <w:p w14:paraId="6275BAE3"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lastRenderedPageBreak/>
        <w:t>~75,000 Barangay Health Workers (BHWs) — the frontline health workforce with direct household access to pregnant mothers and infants</w:t>
      </w:r>
    </w:p>
    <w:p w14:paraId="598F7A1E"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RHU nurses and midwives conducting antenatal care visits and Well-Baby Checkups</w:t>
      </w:r>
    </w:p>
    <w:p w14:paraId="704CC110" w14:textId="77777777" w:rsidR="00906E92" w:rsidRDefault="00000000" w:rsidP="003D323F">
      <w:pPr>
        <w:spacing w:after="60"/>
        <w:ind w:left="360"/>
        <w:jc w:val="both"/>
      </w:pPr>
      <w:r>
        <w:rPr>
          <w:rFonts w:ascii="Palatino Linotype" w:hAnsi="Palatino Linotype"/>
          <w:color w:val="000000"/>
        </w:rPr>
        <w:t>Primary Beneficiaries (patients screened):</w:t>
      </w:r>
    </w:p>
    <w:p w14:paraId="4B977FCB"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Pregnant Filipino women (~1.7 million deliveries/year; 21.8% entering labor anemic)</w:t>
      </w:r>
    </w:p>
    <w:p w14:paraId="0E0E67B0"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Infants 6–24 months (40–45% anemic; irreversible neurodevelopmental window)</w:t>
      </w:r>
    </w:p>
    <w:p w14:paraId="59AC95B7"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Adolescent girls in DepEd WIFA programs (15–20% anemic)</w:t>
      </w:r>
    </w:p>
    <w:p w14:paraId="4CF871F5" w14:textId="77777777" w:rsidR="00906E92" w:rsidRDefault="00000000" w:rsidP="003D323F">
      <w:pPr>
        <w:spacing w:after="60"/>
        <w:ind w:left="360"/>
        <w:jc w:val="both"/>
      </w:pPr>
      <w:r>
        <w:rPr>
          <w:rFonts w:ascii="Palatino Linotype" w:hAnsi="Palatino Linotype"/>
          <w:color w:val="000000"/>
        </w:rPr>
        <w:t>Institutional Customers (who license or procure):</w:t>
      </w:r>
    </w:p>
    <w:p w14:paraId="7238B418"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Department of Health (DOH) and Local Government Units under RA 11223 UHC</w:t>
      </w:r>
    </w:p>
    <w:p w14:paraId="0461F2BC"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NGOs / INGOs: UNFPA, Helen Keller International, PATH Philippines</w:t>
      </w:r>
    </w:p>
    <w:p w14:paraId="3CA9CD12"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PhilHealth Konsulta-accredited primary care facilities</w:t>
      </w:r>
    </w:p>
    <w:p w14:paraId="592CFCE9" w14:textId="77777777" w:rsidR="00906E92" w:rsidRDefault="00000000" w:rsidP="003D323F">
      <w:pPr>
        <w:spacing w:after="240"/>
        <w:ind w:left="360"/>
        <w:jc w:val="both"/>
      </w:pPr>
      <w:r>
        <w:rPr>
          <w:rFonts w:ascii="Palatino Linotype" w:hAnsi="Palatino Linotype"/>
          <w:color w:val="000000"/>
        </w:rPr>
        <w:t>Geographic Focus: Rural and GIDA municipalities across Mindanao and the Visayas, beginning in Northern Mindanao where physician density is among the lowest nationally and USTP's regional presence enables early deployment partnerships.</w:t>
      </w:r>
    </w:p>
    <w:p w14:paraId="2DEF5A86" w14:textId="77777777" w:rsidR="00906E92" w:rsidRDefault="00000000" w:rsidP="003D323F">
      <w:pPr>
        <w:spacing w:after="0"/>
        <w:ind w:left="360"/>
        <w:jc w:val="both"/>
      </w:pPr>
      <w:r>
        <w:rPr>
          <w:rFonts w:ascii="Palatino Linotype" w:hAnsi="Palatino Linotype"/>
          <w:color w:val="000000"/>
          <w:sz w:val="18"/>
        </w:rPr>
        <w:t>Page 1</w:t>
      </w:r>
    </w:p>
    <w:p w14:paraId="5270A563" w14:textId="77777777" w:rsidR="00906E92" w:rsidRDefault="00000000" w:rsidP="003D323F">
      <w:pPr>
        <w:jc w:val="both"/>
      </w:pPr>
      <w:r>
        <w:br w:type="page"/>
      </w:r>
    </w:p>
    <w:p w14:paraId="4685B795" w14:textId="77777777" w:rsidR="00906E92" w:rsidRDefault="00000000" w:rsidP="003D323F">
      <w:pPr>
        <w:spacing w:after="80"/>
        <w:jc w:val="both"/>
      </w:pPr>
      <w:r>
        <w:rPr>
          <w:rFonts w:ascii="Palatino Linotype" w:hAnsi="Palatino Linotype"/>
          <w:b/>
          <w:color w:val="000000"/>
        </w:rPr>
        <w:lastRenderedPageBreak/>
        <w:t>VI. VALUE PROPOSITION</w:t>
      </w:r>
    </w:p>
    <w:p w14:paraId="12E0A932" w14:textId="77777777" w:rsidR="00906E92" w:rsidRDefault="00000000" w:rsidP="003D323F">
      <w:pPr>
        <w:spacing w:after="120"/>
        <w:ind w:left="720"/>
        <w:jc w:val="both"/>
      </w:pPr>
      <w:r>
        <w:rPr>
          <w:rFonts w:ascii="Palatino Linotype" w:hAnsi="Palatino Linotype"/>
          <w:color w:val="000000"/>
        </w:rPr>
        <w:t>TingínHB delivers a combination of advantages that no single competing product or method can match:</w:t>
      </w:r>
    </w:p>
    <w:tbl>
      <w:tblPr>
        <w:tblStyle w:val="TableGrid"/>
        <w:tblW w:w="8727" w:type="dxa"/>
        <w:tblInd w:w="720" w:type="dxa"/>
        <w:tblLook w:val="04A0" w:firstRow="1" w:lastRow="0" w:firstColumn="1" w:lastColumn="0" w:noHBand="0" w:noVBand="1"/>
      </w:tblPr>
      <w:tblGrid>
        <w:gridCol w:w="2286"/>
        <w:gridCol w:w="2148"/>
        <w:gridCol w:w="2134"/>
        <w:gridCol w:w="2159"/>
      </w:tblGrid>
      <w:tr w:rsidR="00906E92" w14:paraId="7D314B50" w14:textId="77777777" w:rsidTr="00B95071">
        <w:tc>
          <w:tcPr>
            <w:tcW w:w="2286" w:type="dxa"/>
          </w:tcPr>
          <w:p w14:paraId="4FC7A361" w14:textId="77777777" w:rsidR="00906E92" w:rsidRDefault="00000000" w:rsidP="003D323F">
            <w:pPr>
              <w:spacing w:line="276" w:lineRule="auto"/>
              <w:jc w:val="both"/>
            </w:pPr>
            <w:r>
              <w:rPr>
                <w:rFonts w:ascii="Palatino Linotype" w:hAnsi="Palatino Linotype"/>
                <w:b/>
                <w:sz w:val="20"/>
              </w:rPr>
              <w:t>Feature</w:t>
            </w:r>
          </w:p>
        </w:tc>
        <w:tc>
          <w:tcPr>
            <w:tcW w:w="2148" w:type="dxa"/>
          </w:tcPr>
          <w:p w14:paraId="38D38D44" w14:textId="77777777" w:rsidR="00906E92" w:rsidRDefault="00000000" w:rsidP="003D323F">
            <w:pPr>
              <w:spacing w:line="276" w:lineRule="auto"/>
              <w:jc w:val="both"/>
            </w:pPr>
            <w:r>
              <w:rPr>
                <w:rFonts w:ascii="Palatino Linotype" w:hAnsi="Palatino Linotype"/>
                <w:b/>
                <w:sz w:val="20"/>
              </w:rPr>
              <w:t>TingínHB</w:t>
            </w:r>
          </w:p>
        </w:tc>
        <w:tc>
          <w:tcPr>
            <w:tcW w:w="2134" w:type="dxa"/>
          </w:tcPr>
          <w:p w14:paraId="26DF390E" w14:textId="77777777" w:rsidR="00906E92" w:rsidRDefault="00000000" w:rsidP="003D323F">
            <w:pPr>
              <w:spacing w:line="276" w:lineRule="auto"/>
              <w:jc w:val="both"/>
            </w:pPr>
            <w:r>
              <w:rPr>
                <w:rFonts w:ascii="Palatino Linotype" w:hAnsi="Palatino Linotype"/>
                <w:b/>
                <w:sz w:val="20"/>
              </w:rPr>
              <w:t>HemoCue Hb 301</w:t>
            </w:r>
          </w:p>
        </w:tc>
        <w:tc>
          <w:tcPr>
            <w:tcW w:w="2159" w:type="dxa"/>
          </w:tcPr>
          <w:p w14:paraId="5C9C8F46" w14:textId="77777777" w:rsidR="00906E92" w:rsidRDefault="00000000" w:rsidP="003D323F">
            <w:pPr>
              <w:spacing w:line="276" w:lineRule="auto"/>
              <w:jc w:val="both"/>
            </w:pPr>
            <w:r>
              <w:rPr>
                <w:rFonts w:ascii="Palatino Linotype" w:hAnsi="Palatino Linotype"/>
                <w:b/>
                <w:sz w:val="20"/>
              </w:rPr>
              <w:t>AnemoCheck (US)</w:t>
            </w:r>
          </w:p>
        </w:tc>
      </w:tr>
      <w:tr w:rsidR="00906E92" w14:paraId="6C060BA5" w14:textId="77777777" w:rsidTr="00B95071">
        <w:tc>
          <w:tcPr>
            <w:tcW w:w="2286" w:type="dxa"/>
          </w:tcPr>
          <w:p w14:paraId="672348ED" w14:textId="77777777" w:rsidR="00906E92" w:rsidRDefault="00000000" w:rsidP="003D323F">
            <w:pPr>
              <w:spacing w:line="276" w:lineRule="auto"/>
              <w:jc w:val="both"/>
            </w:pPr>
            <w:r>
              <w:rPr>
                <w:rFonts w:ascii="Palatino Linotype" w:hAnsi="Palatino Linotype"/>
                <w:sz w:val="20"/>
              </w:rPr>
              <w:t>Cost per test</w:t>
            </w:r>
          </w:p>
        </w:tc>
        <w:tc>
          <w:tcPr>
            <w:tcW w:w="2148" w:type="dxa"/>
          </w:tcPr>
          <w:p w14:paraId="4FB19885" w14:textId="77777777" w:rsidR="00906E92" w:rsidRDefault="00000000" w:rsidP="003D323F">
            <w:pPr>
              <w:spacing w:line="276" w:lineRule="auto"/>
              <w:jc w:val="both"/>
            </w:pPr>
            <w:r>
              <w:rPr>
                <w:rFonts w:ascii="Palatino Linotype" w:hAnsi="Palatino Linotype"/>
                <w:sz w:val="20"/>
              </w:rPr>
              <w:t>₱ 0.00</w:t>
            </w:r>
          </w:p>
        </w:tc>
        <w:tc>
          <w:tcPr>
            <w:tcW w:w="2134" w:type="dxa"/>
          </w:tcPr>
          <w:p w14:paraId="6B34F9C9" w14:textId="77777777" w:rsidR="00906E92" w:rsidRDefault="00000000" w:rsidP="003D323F">
            <w:pPr>
              <w:spacing w:line="276" w:lineRule="auto"/>
              <w:jc w:val="both"/>
            </w:pPr>
            <w:r>
              <w:rPr>
                <w:rFonts w:ascii="Palatino Linotype" w:hAnsi="Palatino Linotype"/>
                <w:sz w:val="20"/>
              </w:rPr>
              <w:t>₱ 105–150 / cuvette</w:t>
            </w:r>
          </w:p>
        </w:tc>
        <w:tc>
          <w:tcPr>
            <w:tcW w:w="2159" w:type="dxa"/>
          </w:tcPr>
          <w:p w14:paraId="6A5F7B32" w14:textId="77777777" w:rsidR="00906E92" w:rsidRDefault="00000000" w:rsidP="003D323F">
            <w:pPr>
              <w:spacing w:line="276" w:lineRule="auto"/>
              <w:jc w:val="both"/>
            </w:pPr>
            <w:r>
              <w:rPr>
                <w:rFonts w:ascii="Palatino Linotype" w:hAnsi="Palatino Linotype"/>
                <w:sz w:val="20"/>
              </w:rPr>
              <w:t>~$5 USD + prior CBC</w:t>
            </w:r>
          </w:p>
        </w:tc>
      </w:tr>
      <w:tr w:rsidR="00906E92" w14:paraId="58876121" w14:textId="77777777" w:rsidTr="00B95071">
        <w:tc>
          <w:tcPr>
            <w:tcW w:w="2286" w:type="dxa"/>
          </w:tcPr>
          <w:p w14:paraId="3EF9BB04" w14:textId="77777777" w:rsidR="00906E92" w:rsidRDefault="00000000" w:rsidP="003D323F">
            <w:pPr>
              <w:spacing w:line="276" w:lineRule="auto"/>
              <w:jc w:val="both"/>
            </w:pPr>
            <w:r>
              <w:rPr>
                <w:rFonts w:ascii="Palatino Linotype" w:hAnsi="Palatino Linotype"/>
                <w:sz w:val="20"/>
              </w:rPr>
              <w:t>Capital equipment</w:t>
            </w:r>
          </w:p>
        </w:tc>
        <w:tc>
          <w:tcPr>
            <w:tcW w:w="2148" w:type="dxa"/>
          </w:tcPr>
          <w:p w14:paraId="0D886EE2" w14:textId="77777777" w:rsidR="00906E92" w:rsidRDefault="00000000" w:rsidP="003D323F">
            <w:pPr>
              <w:spacing w:line="276" w:lineRule="auto"/>
              <w:jc w:val="both"/>
            </w:pPr>
            <w:r>
              <w:rPr>
                <w:rFonts w:ascii="Palatino Linotype" w:hAnsi="Palatino Linotype"/>
                <w:sz w:val="20"/>
              </w:rPr>
              <w:t>₱ 0 (existing smartphone)</w:t>
            </w:r>
          </w:p>
        </w:tc>
        <w:tc>
          <w:tcPr>
            <w:tcW w:w="2134" w:type="dxa"/>
          </w:tcPr>
          <w:p w14:paraId="46129331" w14:textId="77777777" w:rsidR="00906E92" w:rsidRDefault="00000000" w:rsidP="003D323F">
            <w:pPr>
              <w:spacing w:line="276" w:lineRule="auto"/>
              <w:jc w:val="both"/>
            </w:pPr>
            <w:r>
              <w:rPr>
                <w:rFonts w:ascii="Palatino Linotype" w:hAnsi="Palatino Linotype"/>
                <w:sz w:val="20"/>
              </w:rPr>
              <w:t>₱ 70,000–125,000</w:t>
            </w:r>
          </w:p>
        </w:tc>
        <w:tc>
          <w:tcPr>
            <w:tcW w:w="2159" w:type="dxa"/>
          </w:tcPr>
          <w:p w14:paraId="51A59664" w14:textId="77777777" w:rsidR="00906E92" w:rsidRDefault="00000000" w:rsidP="003D323F">
            <w:pPr>
              <w:spacing w:line="276" w:lineRule="auto"/>
              <w:jc w:val="both"/>
            </w:pPr>
            <w:r>
              <w:rPr>
                <w:rFonts w:ascii="Palatino Linotype" w:hAnsi="Palatino Linotype"/>
                <w:sz w:val="20"/>
              </w:rPr>
              <w:t>Smartphone only</w:t>
            </w:r>
          </w:p>
        </w:tc>
      </w:tr>
      <w:tr w:rsidR="00906E92" w14:paraId="41C9ABA1" w14:textId="77777777" w:rsidTr="00B95071">
        <w:tc>
          <w:tcPr>
            <w:tcW w:w="2286" w:type="dxa"/>
          </w:tcPr>
          <w:p w14:paraId="5CA610EB" w14:textId="77777777" w:rsidR="00906E92" w:rsidRDefault="00000000" w:rsidP="003D323F">
            <w:pPr>
              <w:spacing w:line="276" w:lineRule="auto"/>
              <w:jc w:val="both"/>
            </w:pPr>
            <w:r>
              <w:rPr>
                <w:rFonts w:ascii="Palatino Linotype" w:hAnsi="Palatino Linotype"/>
                <w:sz w:val="20"/>
              </w:rPr>
              <w:t>Sites assessed</w:t>
            </w:r>
          </w:p>
        </w:tc>
        <w:tc>
          <w:tcPr>
            <w:tcW w:w="2148" w:type="dxa"/>
          </w:tcPr>
          <w:p w14:paraId="69E3F0B8" w14:textId="77777777" w:rsidR="00906E92" w:rsidRDefault="00000000" w:rsidP="003D323F">
            <w:pPr>
              <w:spacing w:line="276" w:lineRule="auto"/>
              <w:jc w:val="both"/>
            </w:pPr>
            <w:r>
              <w:rPr>
                <w:rFonts w:ascii="Palatino Linotype" w:hAnsi="Palatino Linotype"/>
                <w:sz w:val="20"/>
              </w:rPr>
              <w:t>Conjunctiva + Fingernail</w:t>
            </w:r>
          </w:p>
        </w:tc>
        <w:tc>
          <w:tcPr>
            <w:tcW w:w="2134" w:type="dxa"/>
          </w:tcPr>
          <w:p w14:paraId="6896AB84" w14:textId="77777777" w:rsidR="00906E92" w:rsidRDefault="00000000" w:rsidP="003D323F">
            <w:pPr>
              <w:spacing w:line="276" w:lineRule="auto"/>
              <w:jc w:val="both"/>
            </w:pPr>
            <w:r>
              <w:rPr>
                <w:rFonts w:ascii="Palatino Linotype" w:hAnsi="Palatino Linotype"/>
                <w:sz w:val="20"/>
              </w:rPr>
              <w:t>Fingerstick (invasive)</w:t>
            </w:r>
          </w:p>
        </w:tc>
        <w:tc>
          <w:tcPr>
            <w:tcW w:w="2159" w:type="dxa"/>
          </w:tcPr>
          <w:p w14:paraId="773EDDA3" w14:textId="77777777" w:rsidR="00906E92" w:rsidRDefault="00000000" w:rsidP="003D323F">
            <w:pPr>
              <w:spacing w:line="276" w:lineRule="auto"/>
              <w:jc w:val="both"/>
            </w:pPr>
            <w:r>
              <w:rPr>
                <w:rFonts w:ascii="Palatino Linotype" w:hAnsi="Palatino Linotype"/>
                <w:sz w:val="20"/>
              </w:rPr>
              <w:t>Fingernail only</w:t>
            </w:r>
          </w:p>
        </w:tc>
      </w:tr>
      <w:tr w:rsidR="00906E92" w14:paraId="387272B0" w14:textId="77777777" w:rsidTr="00B95071">
        <w:tc>
          <w:tcPr>
            <w:tcW w:w="2286" w:type="dxa"/>
          </w:tcPr>
          <w:p w14:paraId="70CA0B3D" w14:textId="77777777" w:rsidR="00906E92" w:rsidRDefault="00000000" w:rsidP="003D323F">
            <w:pPr>
              <w:spacing w:line="276" w:lineRule="auto"/>
              <w:jc w:val="both"/>
            </w:pPr>
            <w:r>
              <w:rPr>
                <w:rFonts w:ascii="Palatino Linotype" w:hAnsi="Palatino Linotype"/>
                <w:sz w:val="20"/>
              </w:rPr>
              <w:t>Requires prior CBC</w:t>
            </w:r>
          </w:p>
        </w:tc>
        <w:tc>
          <w:tcPr>
            <w:tcW w:w="2148" w:type="dxa"/>
          </w:tcPr>
          <w:p w14:paraId="121E1581" w14:textId="77777777" w:rsidR="00906E92" w:rsidRDefault="00000000" w:rsidP="003D323F">
            <w:pPr>
              <w:spacing w:line="276" w:lineRule="auto"/>
              <w:jc w:val="both"/>
            </w:pPr>
            <w:r>
              <w:rPr>
                <w:rFonts w:ascii="Palatino Linotype" w:hAnsi="Palatino Linotype"/>
                <w:sz w:val="20"/>
              </w:rPr>
              <w:t>NO</w:t>
            </w:r>
          </w:p>
        </w:tc>
        <w:tc>
          <w:tcPr>
            <w:tcW w:w="2134" w:type="dxa"/>
          </w:tcPr>
          <w:p w14:paraId="272BB089" w14:textId="77777777" w:rsidR="00906E92" w:rsidRDefault="00000000" w:rsidP="003D323F">
            <w:pPr>
              <w:spacing w:line="276" w:lineRule="auto"/>
              <w:jc w:val="both"/>
            </w:pPr>
            <w:r>
              <w:rPr>
                <w:rFonts w:ascii="Palatino Linotype" w:hAnsi="Palatino Linotype"/>
                <w:sz w:val="20"/>
              </w:rPr>
              <w:t>No</w:t>
            </w:r>
          </w:p>
        </w:tc>
        <w:tc>
          <w:tcPr>
            <w:tcW w:w="2159" w:type="dxa"/>
          </w:tcPr>
          <w:p w14:paraId="522033DC" w14:textId="77777777" w:rsidR="00906E92" w:rsidRDefault="00000000" w:rsidP="003D323F">
            <w:pPr>
              <w:spacing w:line="276" w:lineRule="auto"/>
              <w:jc w:val="both"/>
            </w:pPr>
            <w:r>
              <w:rPr>
                <w:rFonts w:ascii="Palatino Linotype" w:hAnsi="Palatino Linotype"/>
                <w:sz w:val="20"/>
              </w:rPr>
              <w:t>YES</w:t>
            </w:r>
          </w:p>
        </w:tc>
      </w:tr>
      <w:tr w:rsidR="00906E92" w14:paraId="4A27C329" w14:textId="77777777" w:rsidTr="00B95071">
        <w:tc>
          <w:tcPr>
            <w:tcW w:w="2286" w:type="dxa"/>
          </w:tcPr>
          <w:p w14:paraId="19A695C5" w14:textId="77777777" w:rsidR="00906E92" w:rsidRDefault="00000000" w:rsidP="003D323F">
            <w:pPr>
              <w:spacing w:line="276" w:lineRule="auto"/>
              <w:jc w:val="both"/>
            </w:pPr>
            <w:r>
              <w:rPr>
                <w:rFonts w:ascii="Palatino Linotype" w:hAnsi="Palatino Linotype"/>
                <w:sz w:val="20"/>
              </w:rPr>
              <w:t>Melanin-independent</w:t>
            </w:r>
          </w:p>
        </w:tc>
        <w:tc>
          <w:tcPr>
            <w:tcW w:w="2148" w:type="dxa"/>
          </w:tcPr>
          <w:p w14:paraId="26CC5327" w14:textId="77777777" w:rsidR="00906E92" w:rsidRDefault="00000000" w:rsidP="003D323F">
            <w:pPr>
              <w:spacing w:line="276" w:lineRule="auto"/>
              <w:jc w:val="both"/>
            </w:pPr>
            <w:r>
              <w:rPr>
                <w:rFonts w:ascii="Palatino Linotype" w:hAnsi="Palatino Linotype"/>
                <w:sz w:val="20"/>
              </w:rPr>
              <w:t>YES</w:t>
            </w:r>
          </w:p>
        </w:tc>
        <w:tc>
          <w:tcPr>
            <w:tcW w:w="2134" w:type="dxa"/>
          </w:tcPr>
          <w:p w14:paraId="079EB592" w14:textId="77777777" w:rsidR="00906E92" w:rsidRDefault="00000000" w:rsidP="003D323F">
            <w:pPr>
              <w:spacing w:line="276" w:lineRule="auto"/>
              <w:jc w:val="both"/>
            </w:pPr>
            <w:r>
              <w:rPr>
                <w:rFonts w:ascii="Palatino Linotype" w:hAnsi="Palatino Linotype"/>
                <w:sz w:val="20"/>
              </w:rPr>
              <w:t>Yes</w:t>
            </w:r>
          </w:p>
        </w:tc>
        <w:tc>
          <w:tcPr>
            <w:tcW w:w="2159" w:type="dxa"/>
          </w:tcPr>
          <w:p w14:paraId="6EA85091" w14:textId="77777777" w:rsidR="00906E92" w:rsidRDefault="00000000" w:rsidP="003D323F">
            <w:pPr>
              <w:spacing w:line="276" w:lineRule="auto"/>
              <w:jc w:val="both"/>
            </w:pPr>
            <w:r>
              <w:rPr>
                <w:rFonts w:ascii="Palatino Linotype" w:hAnsi="Palatino Linotype"/>
                <w:sz w:val="20"/>
              </w:rPr>
              <w:t>NO (skin-sensitive)</w:t>
            </w:r>
          </w:p>
        </w:tc>
      </w:tr>
      <w:tr w:rsidR="00906E92" w14:paraId="7E85EBB8" w14:textId="77777777" w:rsidTr="00B95071">
        <w:tc>
          <w:tcPr>
            <w:tcW w:w="2286" w:type="dxa"/>
          </w:tcPr>
          <w:p w14:paraId="7276D8BA" w14:textId="77777777" w:rsidR="00906E92" w:rsidRDefault="00000000" w:rsidP="003D323F">
            <w:pPr>
              <w:spacing w:line="276" w:lineRule="auto"/>
              <w:jc w:val="both"/>
            </w:pPr>
            <w:r>
              <w:rPr>
                <w:rFonts w:ascii="Palatino Linotype" w:hAnsi="Palatino Linotype"/>
                <w:sz w:val="20"/>
              </w:rPr>
              <w:t>Fully offline</w:t>
            </w:r>
          </w:p>
        </w:tc>
        <w:tc>
          <w:tcPr>
            <w:tcW w:w="2148" w:type="dxa"/>
          </w:tcPr>
          <w:p w14:paraId="546559CB" w14:textId="77777777" w:rsidR="00906E92" w:rsidRDefault="00000000" w:rsidP="003D323F">
            <w:pPr>
              <w:spacing w:line="276" w:lineRule="auto"/>
              <w:jc w:val="both"/>
            </w:pPr>
            <w:r>
              <w:rPr>
                <w:rFonts w:ascii="Palatino Linotype" w:hAnsi="Palatino Linotype"/>
                <w:sz w:val="20"/>
              </w:rPr>
              <w:t>YES</w:t>
            </w:r>
          </w:p>
        </w:tc>
        <w:tc>
          <w:tcPr>
            <w:tcW w:w="2134" w:type="dxa"/>
          </w:tcPr>
          <w:p w14:paraId="4F32B542" w14:textId="77777777" w:rsidR="00906E92" w:rsidRDefault="00000000" w:rsidP="003D323F">
            <w:pPr>
              <w:spacing w:line="276" w:lineRule="auto"/>
              <w:jc w:val="both"/>
            </w:pPr>
            <w:r>
              <w:rPr>
                <w:rFonts w:ascii="Palatino Linotype" w:hAnsi="Palatino Linotype"/>
                <w:sz w:val="20"/>
              </w:rPr>
              <w:t>Yes</w:t>
            </w:r>
          </w:p>
        </w:tc>
        <w:tc>
          <w:tcPr>
            <w:tcW w:w="2159" w:type="dxa"/>
          </w:tcPr>
          <w:p w14:paraId="6760901F" w14:textId="77777777" w:rsidR="00906E92" w:rsidRDefault="00000000" w:rsidP="003D323F">
            <w:pPr>
              <w:spacing w:line="276" w:lineRule="auto"/>
              <w:jc w:val="both"/>
            </w:pPr>
            <w:r>
              <w:rPr>
                <w:rFonts w:ascii="Palatino Linotype" w:hAnsi="Palatino Linotype"/>
                <w:sz w:val="20"/>
              </w:rPr>
              <w:t>Yes</w:t>
            </w:r>
          </w:p>
        </w:tc>
      </w:tr>
      <w:tr w:rsidR="00906E92" w14:paraId="17DE083B" w14:textId="77777777" w:rsidTr="00B95071">
        <w:tc>
          <w:tcPr>
            <w:tcW w:w="2286" w:type="dxa"/>
          </w:tcPr>
          <w:p w14:paraId="72B0F8B6" w14:textId="77777777" w:rsidR="00906E92" w:rsidRDefault="00000000" w:rsidP="003D323F">
            <w:pPr>
              <w:spacing w:line="276" w:lineRule="auto"/>
              <w:jc w:val="both"/>
            </w:pPr>
            <w:r>
              <w:rPr>
                <w:rFonts w:ascii="Palatino Linotype" w:hAnsi="Palatino Linotype"/>
                <w:sz w:val="20"/>
              </w:rPr>
              <w:t>PH policy integration</w:t>
            </w:r>
          </w:p>
        </w:tc>
        <w:tc>
          <w:tcPr>
            <w:tcW w:w="2148" w:type="dxa"/>
          </w:tcPr>
          <w:p w14:paraId="0A425C86" w14:textId="77777777" w:rsidR="00906E92" w:rsidRDefault="00000000" w:rsidP="003D323F">
            <w:pPr>
              <w:spacing w:line="276" w:lineRule="auto"/>
              <w:jc w:val="both"/>
            </w:pPr>
            <w:r>
              <w:rPr>
                <w:rFonts w:ascii="Palatino Linotype" w:hAnsi="Palatino Linotype"/>
                <w:sz w:val="20"/>
              </w:rPr>
              <w:t>YES (Konsulta PDF)</w:t>
            </w:r>
          </w:p>
        </w:tc>
        <w:tc>
          <w:tcPr>
            <w:tcW w:w="2134" w:type="dxa"/>
          </w:tcPr>
          <w:p w14:paraId="2EE444A4" w14:textId="77777777" w:rsidR="00906E92" w:rsidRDefault="00000000" w:rsidP="003D323F">
            <w:pPr>
              <w:spacing w:line="276" w:lineRule="auto"/>
              <w:jc w:val="both"/>
            </w:pPr>
            <w:r>
              <w:rPr>
                <w:rFonts w:ascii="Palatino Linotype" w:hAnsi="Palatino Linotype"/>
                <w:sz w:val="20"/>
              </w:rPr>
              <w:t>None</w:t>
            </w:r>
          </w:p>
        </w:tc>
        <w:tc>
          <w:tcPr>
            <w:tcW w:w="2159" w:type="dxa"/>
          </w:tcPr>
          <w:p w14:paraId="062A17C1" w14:textId="77777777" w:rsidR="00906E92" w:rsidRDefault="00000000" w:rsidP="003D323F">
            <w:pPr>
              <w:spacing w:line="276" w:lineRule="auto"/>
              <w:jc w:val="both"/>
            </w:pPr>
            <w:r>
              <w:rPr>
                <w:rFonts w:ascii="Palatino Linotype" w:hAnsi="Palatino Linotype"/>
                <w:sz w:val="20"/>
              </w:rPr>
              <w:t>Not in PH</w:t>
            </w:r>
          </w:p>
        </w:tc>
      </w:tr>
      <w:tr w:rsidR="00906E92" w14:paraId="1C3967C6" w14:textId="77777777" w:rsidTr="00B95071">
        <w:tc>
          <w:tcPr>
            <w:tcW w:w="2286" w:type="dxa"/>
          </w:tcPr>
          <w:p w14:paraId="3BEE6CFE" w14:textId="77777777" w:rsidR="00906E92" w:rsidRDefault="00000000" w:rsidP="003D323F">
            <w:pPr>
              <w:spacing w:line="276" w:lineRule="auto"/>
              <w:jc w:val="both"/>
            </w:pPr>
            <w:r>
              <w:rPr>
                <w:rFonts w:ascii="Palatino Linotype" w:hAnsi="Palatino Linotype"/>
                <w:sz w:val="20"/>
              </w:rPr>
              <w:t>Biohazardous waste</w:t>
            </w:r>
          </w:p>
        </w:tc>
        <w:tc>
          <w:tcPr>
            <w:tcW w:w="2148" w:type="dxa"/>
          </w:tcPr>
          <w:p w14:paraId="44D81088" w14:textId="77777777" w:rsidR="00906E92" w:rsidRDefault="00000000" w:rsidP="003D323F">
            <w:pPr>
              <w:spacing w:line="276" w:lineRule="auto"/>
              <w:jc w:val="both"/>
            </w:pPr>
            <w:r>
              <w:rPr>
                <w:rFonts w:ascii="Palatino Linotype" w:hAnsi="Palatino Linotype"/>
                <w:sz w:val="20"/>
              </w:rPr>
              <w:t>NONE</w:t>
            </w:r>
          </w:p>
        </w:tc>
        <w:tc>
          <w:tcPr>
            <w:tcW w:w="2134" w:type="dxa"/>
          </w:tcPr>
          <w:p w14:paraId="2FFF1D74" w14:textId="77777777" w:rsidR="00906E92" w:rsidRDefault="00000000" w:rsidP="003D323F">
            <w:pPr>
              <w:spacing w:line="276" w:lineRule="auto"/>
              <w:jc w:val="both"/>
            </w:pPr>
            <w:r>
              <w:rPr>
                <w:rFonts w:ascii="Palatino Linotype" w:hAnsi="Palatino Linotype"/>
                <w:sz w:val="20"/>
              </w:rPr>
              <w:t>Lancets + cuvettes</w:t>
            </w:r>
          </w:p>
        </w:tc>
        <w:tc>
          <w:tcPr>
            <w:tcW w:w="2159" w:type="dxa"/>
          </w:tcPr>
          <w:p w14:paraId="6919C221" w14:textId="77777777" w:rsidR="00906E92" w:rsidRDefault="00000000" w:rsidP="003D323F">
            <w:pPr>
              <w:spacing w:line="276" w:lineRule="auto"/>
              <w:jc w:val="both"/>
            </w:pPr>
            <w:r>
              <w:rPr>
                <w:rFonts w:ascii="Palatino Linotype" w:hAnsi="Palatino Linotype"/>
                <w:sz w:val="20"/>
              </w:rPr>
              <w:t>None</w:t>
            </w:r>
          </w:p>
        </w:tc>
      </w:tr>
    </w:tbl>
    <w:p w14:paraId="614ECD1A" w14:textId="77777777" w:rsidR="00906E92" w:rsidRDefault="00906E92" w:rsidP="003D323F">
      <w:pPr>
        <w:ind w:left="720"/>
        <w:jc w:val="both"/>
      </w:pPr>
    </w:p>
    <w:p w14:paraId="271F44CD" w14:textId="77777777" w:rsidR="00906E92" w:rsidRDefault="00000000" w:rsidP="003D323F">
      <w:pPr>
        <w:spacing w:after="240"/>
        <w:ind w:left="720"/>
        <w:jc w:val="both"/>
      </w:pPr>
      <w:r>
        <w:rPr>
          <w:rFonts w:ascii="Palatino Linotype" w:hAnsi="Palatino Linotype"/>
          <w:color w:val="000000"/>
        </w:rPr>
        <w:t>Our core moat is the dual-site architecture. When a patient has nail polish, cold extremities, or is an uncooperative infant — scenarios that defeat every single-site screener — TingínHB switches sites and keeps screening. When both sites are available, it fuses both readings for higher confidence. No competing solution handles this.</w:t>
      </w:r>
    </w:p>
    <w:p w14:paraId="759F2497" w14:textId="77777777" w:rsidR="00906E92" w:rsidRDefault="00000000" w:rsidP="003D323F">
      <w:pPr>
        <w:spacing w:before="240" w:after="80"/>
        <w:jc w:val="both"/>
      </w:pPr>
      <w:r>
        <w:rPr>
          <w:rFonts w:ascii="Palatino Linotype" w:hAnsi="Palatino Linotype"/>
          <w:b/>
          <w:color w:val="000000"/>
        </w:rPr>
        <w:t>VII. BUSINESS MODEL</w:t>
      </w:r>
    </w:p>
    <w:p w14:paraId="754BB6EE" w14:textId="77777777" w:rsidR="00906E92" w:rsidRDefault="00000000" w:rsidP="003D323F">
      <w:pPr>
        <w:spacing w:after="120"/>
        <w:ind w:left="720"/>
        <w:jc w:val="both"/>
      </w:pPr>
      <w:r>
        <w:rPr>
          <w:rFonts w:ascii="Palatino Linotype" w:hAnsi="Palatino Linotype"/>
          <w:color w:val="000000"/>
        </w:rPr>
        <w:t>TingínHB follows a freemium public-health model. The BHW screening app is always free — because the patient and the BHW are not the buyer. Revenue flows from the institutions above them that benefit from improved population health outcomes and reduced downstream treatment costs.</w:t>
      </w:r>
    </w:p>
    <w:p w14:paraId="74B5AEE3" w14:textId="77777777" w:rsidR="00906E92" w:rsidRDefault="00000000" w:rsidP="003D323F">
      <w:pPr>
        <w:spacing w:after="60"/>
        <w:ind w:left="720"/>
        <w:jc w:val="both"/>
      </w:pPr>
      <w:r>
        <w:rPr>
          <w:rFonts w:ascii="Palatino Linotype" w:hAnsi="Palatino Linotype"/>
          <w:color w:val="000000"/>
        </w:rPr>
        <w:t>Revenue Streams:</w:t>
      </w:r>
    </w:p>
    <w:tbl>
      <w:tblPr>
        <w:tblStyle w:val="TableGrid"/>
        <w:tblW w:w="8727" w:type="dxa"/>
        <w:tblInd w:w="720" w:type="dxa"/>
        <w:tblLook w:val="04A0" w:firstRow="1" w:lastRow="0" w:firstColumn="1" w:lastColumn="0" w:noHBand="0" w:noVBand="1"/>
      </w:tblPr>
      <w:tblGrid>
        <w:gridCol w:w="2626"/>
        <w:gridCol w:w="4891"/>
        <w:gridCol w:w="1210"/>
      </w:tblGrid>
      <w:tr w:rsidR="00906E92" w14:paraId="702DBA84" w14:textId="77777777" w:rsidTr="008A2307">
        <w:tc>
          <w:tcPr>
            <w:tcW w:w="2626" w:type="dxa"/>
          </w:tcPr>
          <w:p w14:paraId="79031FFD" w14:textId="77777777" w:rsidR="00906E92" w:rsidRDefault="00000000" w:rsidP="003D323F">
            <w:pPr>
              <w:spacing w:line="276" w:lineRule="auto"/>
              <w:jc w:val="both"/>
            </w:pPr>
            <w:r>
              <w:rPr>
                <w:rFonts w:ascii="Palatino Linotype" w:hAnsi="Palatino Linotype"/>
                <w:b/>
                <w:sz w:val="20"/>
              </w:rPr>
              <w:t>Revenue Stream</w:t>
            </w:r>
          </w:p>
        </w:tc>
        <w:tc>
          <w:tcPr>
            <w:tcW w:w="4891" w:type="dxa"/>
          </w:tcPr>
          <w:p w14:paraId="07EF31E9" w14:textId="77777777" w:rsidR="00906E92" w:rsidRDefault="00000000" w:rsidP="003D323F">
            <w:pPr>
              <w:spacing w:line="276" w:lineRule="auto"/>
              <w:jc w:val="both"/>
            </w:pPr>
            <w:r>
              <w:rPr>
                <w:rFonts w:ascii="Palatino Linotype" w:hAnsi="Palatino Linotype"/>
                <w:b/>
                <w:sz w:val="20"/>
              </w:rPr>
              <w:t>Description</w:t>
            </w:r>
          </w:p>
        </w:tc>
        <w:tc>
          <w:tcPr>
            <w:tcW w:w="1210" w:type="dxa"/>
          </w:tcPr>
          <w:p w14:paraId="7E5A7B00" w14:textId="77777777" w:rsidR="00906E92" w:rsidRDefault="00000000" w:rsidP="003D323F">
            <w:pPr>
              <w:spacing w:line="276" w:lineRule="auto"/>
              <w:jc w:val="both"/>
            </w:pPr>
            <w:r>
              <w:rPr>
                <w:rFonts w:ascii="Palatino Linotype" w:hAnsi="Palatino Linotype"/>
                <w:b/>
                <w:sz w:val="20"/>
              </w:rPr>
              <w:t>Timeline</w:t>
            </w:r>
          </w:p>
        </w:tc>
      </w:tr>
      <w:tr w:rsidR="00906E92" w14:paraId="555C5750" w14:textId="77777777" w:rsidTr="008A2307">
        <w:tc>
          <w:tcPr>
            <w:tcW w:w="2626" w:type="dxa"/>
          </w:tcPr>
          <w:p w14:paraId="25593C30" w14:textId="77777777" w:rsidR="00906E92" w:rsidRDefault="00000000" w:rsidP="003D323F">
            <w:pPr>
              <w:spacing w:line="276" w:lineRule="auto"/>
              <w:jc w:val="both"/>
            </w:pPr>
            <w:r>
              <w:rPr>
                <w:rFonts w:ascii="Palatino Linotype" w:hAnsi="Palatino Linotype"/>
                <w:sz w:val="20"/>
              </w:rPr>
              <w:t>Government / DOH Procurement</w:t>
            </w:r>
          </w:p>
        </w:tc>
        <w:tc>
          <w:tcPr>
            <w:tcW w:w="4891" w:type="dxa"/>
          </w:tcPr>
          <w:p w14:paraId="6B66B602" w14:textId="77777777" w:rsidR="00906E92" w:rsidRDefault="00000000" w:rsidP="003D323F">
            <w:pPr>
              <w:spacing w:line="276" w:lineRule="auto"/>
              <w:jc w:val="both"/>
            </w:pPr>
            <w:r>
              <w:rPr>
                <w:rFonts w:ascii="Palatino Linotype" w:hAnsi="Palatino Linotype"/>
                <w:sz w:val="20"/>
              </w:rPr>
              <w:t>LGU bulk licensing under RA 11223 UHC. Est. ₱500/BHW/yr × 10% of 75,000 BHWs = ₱3.75M ARR potential.</w:t>
            </w:r>
          </w:p>
        </w:tc>
        <w:tc>
          <w:tcPr>
            <w:tcW w:w="1210" w:type="dxa"/>
          </w:tcPr>
          <w:p w14:paraId="5E6149E2" w14:textId="77777777" w:rsidR="00906E92" w:rsidRDefault="00000000" w:rsidP="003D323F">
            <w:pPr>
              <w:spacing w:line="276" w:lineRule="auto"/>
              <w:jc w:val="both"/>
            </w:pPr>
            <w:r>
              <w:rPr>
                <w:rFonts w:ascii="Palatino Linotype" w:hAnsi="Palatino Linotype"/>
                <w:sz w:val="20"/>
              </w:rPr>
              <w:t>Year 3+</w:t>
            </w:r>
          </w:p>
        </w:tc>
      </w:tr>
      <w:tr w:rsidR="00906E92" w14:paraId="38EF2857" w14:textId="77777777" w:rsidTr="008A2307">
        <w:tc>
          <w:tcPr>
            <w:tcW w:w="2626" w:type="dxa"/>
          </w:tcPr>
          <w:p w14:paraId="528E8DB3" w14:textId="77777777" w:rsidR="00906E92" w:rsidRDefault="00000000" w:rsidP="003D323F">
            <w:pPr>
              <w:spacing w:line="276" w:lineRule="auto"/>
              <w:jc w:val="both"/>
            </w:pPr>
            <w:r>
              <w:rPr>
                <w:rFonts w:ascii="Palatino Linotype" w:hAnsi="Palatino Linotype"/>
                <w:sz w:val="20"/>
              </w:rPr>
              <w:t>NGO / INGO Licensing</w:t>
            </w:r>
          </w:p>
        </w:tc>
        <w:tc>
          <w:tcPr>
            <w:tcW w:w="4891" w:type="dxa"/>
          </w:tcPr>
          <w:p w14:paraId="41DEEC9C" w14:textId="77777777" w:rsidR="00906E92" w:rsidRDefault="00000000" w:rsidP="003D323F">
            <w:pPr>
              <w:spacing w:line="276" w:lineRule="auto"/>
              <w:jc w:val="both"/>
            </w:pPr>
            <w:r>
              <w:rPr>
                <w:rFonts w:ascii="Palatino Linotype" w:hAnsi="Palatino Linotype"/>
                <w:sz w:val="20"/>
              </w:rPr>
              <w:t>Annual license to NGOs running maternal health programs (UNFPA, HKI, PATH PH). Est. ₱50,000–150,000/org/yr.</w:t>
            </w:r>
          </w:p>
        </w:tc>
        <w:tc>
          <w:tcPr>
            <w:tcW w:w="1210" w:type="dxa"/>
          </w:tcPr>
          <w:p w14:paraId="2027FBAF" w14:textId="77777777" w:rsidR="00906E92" w:rsidRDefault="00000000" w:rsidP="003D323F">
            <w:pPr>
              <w:spacing w:line="276" w:lineRule="auto"/>
              <w:jc w:val="both"/>
            </w:pPr>
            <w:r>
              <w:rPr>
                <w:rFonts w:ascii="Palatino Linotype" w:hAnsi="Palatino Linotype"/>
                <w:sz w:val="20"/>
              </w:rPr>
              <w:t>Year 2+</w:t>
            </w:r>
          </w:p>
        </w:tc>
      </w:tr>
      <w:tr w:rsidR="00906E92" w14:paraId="4EFD68D3" w14:textId="77777777" w:rsidTr="008A2307">
        <w:tc>
          <w:tcPr>
            <w:tcW w:w="2626" w:type="dxa"/>
          </w:tcPr>
          <w:p w14:paraId="49EB5B2F" w14:textId="77777777" w:rsidR="00906E92" w:rsidRDefault="00000000" w:rsidP="003D323F">
            <w:pPr>
              <w:spacing w:line="276" w:lineRule="auto"/>
              <w:jc w:val="both"/>
            </w:pPr>
            <w:r>
              <w:rPr>
                <w:rFonts w:ascii="Palatino Linotype" w:hAnsi="Palatino Linotype"/>
                <w:sz w:val="20"/>
              </w:rPr>
              <w:t>DICT / PSC Seed Grant</w:t>
            </w:r>
          </w:p>
        </w:tc>
        <w:tc>
          <w:tcPr>
            <w:tcW w:w="4891" w:type="dxa"/>
          </w:tcPr>
          <w:p w14:paraId="65160226" w14:textId="77777777" w:rsidR="00906E92" w:rsidRDefault="00000000" w:rsidP="003D323F">
            <w:pPr>
              <w:spacing w:line="276" w:lineRule="auto"/>
              <w:jc w:val="both"/>
            </w:pPr>
            <w:r>
              <w:rPr>
                <w:rFonts w:ascii="Palatino Linotype" w:hAnsi="Palatino Linotype"/>
                <w:sz w:val="20"/>
              </w:rPr>
              <w:t>Initial development and validation funding from PSC XI award and DICT Startup Grant Fund (SGF).</w:t>
            </w:r>
          </w:p>
        </w:tc>
        <w:tc>
          <w:tcPr>
            <w:tcW w:w="1210" w:type="dxa"/>
          </w:tcPr>
          <w:p w14:paraId="185D511C" w14:textId="77777777" w:rsidR="00906E92" w:rsidRDefault="00000000" w:rsidP="003D323F">
            <w:pPr>
              <w:spacing w:line="276" w:lineRule="auto"/>
              <w:jc w:val="both"/>
            </w:pPr>
            <w:r>
              <w:rPr>
                <w:rFonts w:ascii="Palatino Linotype" w:hAnsi="Palatino Linotype"/>
                <w:sz w:val="20"/>
              </w:rPr>
              <w:t>Year 1</w:t>
            </w:r>
          </w:p>
        </w:tc>
      </w:tr>
      <w:tr w:rsidR="00906E92" w14:paraId="6B1E9771" w14:textId="77777777" w:rsidTr="008A2307">
        <w:tc>
          <w:tcPr>
            <w:tcW w:w="2626" w:type="dxa"/>
          </w:tcPr>
          <w:p w14:paraId="6AAB55B2" w14:textId="77777777" w:rsidR="00906E92" w:rsidRDefault="00000000" w:rsidP="003D323F">
            <w:pPr>
              <w:spacing w:line="276" w:lineRule="auto"/>
              <w:jc w:val="both"/>
            </w:pPr>
            <w:r>
              <w:rPr>
                <w:rFonts w:ascii="Palatino Linotype" w:hAnsi="Palatino Linotype"/>
                <w:sz w:val="20"/>
              </w:rPr>
              <w:t>Research Partnerships</w:t>
            </w:r>
          </w:p>
        </w:tc>
        <w:tc>
          <w:tcPr>
            <w:tcW w:w="4891" w:type="dxa"/>
          </w:tcPr>
          <w:p w14:paraId="4A036ED9" w14:textId="77777777" w:rsidR="00906E92" w:rsidRDefault="00000000" w:rsidP="003D323F">
            <w:pPr>
              <w:spacing w:line="276" w:lineRule="auto"/>
              <w:jc w:val="both"/>
            </w:pPr>
            <w:r>
              <w:rPr>
                <w:rFonts w:ascii="Palatino Linotype" w:hAnsi="Palatino Linotype"/>
                <w:sz w:val="20"/>
              </w:rPr>
              <w:t>Hospital / university partnerships for clinical validation; TingínHB provides app and data infrastructure in exchange for IRB access and patient cohort.</w:t>
            </w:r>
          </w:p>
        </w:tc>
        <w:tc>
          <w:tcPr>
            <w:tcW w:w="1210" w:type="dxa"/>
          </w:tcPr>
          <w:p w14:paraId="00C044DE" w14:textId="77777777" w:rsidR="00906E92" w:rsidRDefault="00000000" w:rsidP="003D323F">
            <w:pPr>
              <w:spacing w:line="276" w:lineRule="auto"/>
              <w:jc w:val="both"/>
            </w:pPr>
            <w:r>
              <w:rPr>
                <w:rFonts w:ascii="Palatino Linotype" w:hAnsi="Palatino Linotype"/>
                <w:sz w:val="20"/>
              </w:rPr>
              <w:t>Year 1–2</w:t>
            </w:r>
          </w:p>
        </w:tc>
      </w:tr>
    </w:tbl>
    <w:p w14:paraId="0FA4BCFF" w14:textId="77777777" w:rsidR="00906E92" w:rsidRDefault="00906E92" w:rsidP="003D323F">
      <w:pPr>
        <w:ind w:left="720"/>
        <w:jc w:val="both"/>
      </w:pPr>
    </w:p>
    <w:p w14:paraId="3DF333B7" w14:textId="77777777" w:rsidR="00906E92" w:rsidRDefault="00000000" w:rsidP="003D323F">
      <w:pPr>
        <w:spacing w:after="240"/>
        <w:ind w:left="720"/>
        <w:jc w:val="both"/>
      </w:pPr>
      <w:r>
        <w:rPr>
          <w:rFonts w:ascii="Palatino Linotype" w:hAnsi="Palatino Linotype"/>
          <w:color w:val="000000"/>
        </w:rPr>
        <w:lastRenderedPageBreak/>
        <w:t>The free BHW tier drives adoption, generates real-world performance data, and builds the evidence base that makes government procurement defensible. Sustainability is built into the model — not bolted on later.</w:t>
      </w:r>
    </w:p>
    <w:p w14:paraId="3613CC59" w14:textId="77777777" w:rsidR="00906E92" w:rsidRDefault="00000000" w:rsidP="003D323F">
      <w:pPr>
        <w:spacing w:before="240" w:after="80"/>
        <w:jc w:val="both"/>
      </w:pPr>
      <w:r>
        <w:rPr>
          <w:rFonts w:ascii="Palatino Linotype" w:hAnsi="Palatino Linotype"/>
          <w:b/>
          <w:color w:val="000000"/>
        </w:rPr>
        <w:t>VIII. MARKET ANALYSIS</w:t>
      </w:r>
    </w:p>
    <w:p w14:paraId="30933625" w14:textId="77777777" w:rsidR="00906E92" w:rsidRPr="00C57FC0" w:rsidRDefault="00000000" w:rsidP="003D323F">
      <w:pPr>
        <w:spacing w:after="120"/>
        <w:ind w:left="360"/>
        <w:jc w:val="both"/>
        <w:rPr>
          <w:b/>
          <w:bCs/>
        </w:rPr>
      </w:pPr>
      <w:r w:rsidRPr="00C57FC0">
        <w:rPr>
          <w:rFonts w:ascii="Palatino Linotype" w:hAnsi="Palatino Linotype"/>
          <w:b/>
          <w:bCs/>
          <w:color w:val="000000"/>
        </w:rPr>
        <w:t>Market Size:</w:t>
      </w:r>
    </w:p>
    <w:p w14:paraId="1A90EBAE"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Total Addressable Market (TAM): 75,000 BHWs × ~12 antenatal screenings/BHW/month = ~900,000 screenings/month nationwide. At ₱150/avoided HemoCue cuvette, TingínHB represents ₱135M/month in quantifiable government cost avoidance at full penetration.</w:t>
      </w:r>
    </w:p>
    <w:p w14:paraId="44AE3B91"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Serviceable Addressable Market (SAM, Year 1–2): 5–10 GIDA municipalities in Northern Mindanao, targeting 1,500–3,000 BHWs and ~18,000–36,000 screenings/month as an evidence-building pilot.</w:t>
      </w:r>
    </w:p>
    <w:p w14:paraId="6B2FFCD8" w14:textId="77777777" w:rsidR="00906E92" w:rsidRPr="00C57FC0" w:rsidRDefault="00000000" w:rsidP="003D323F">
      <w:pPr>
        <w:spacing w:after="60"/>
        <w:ind w:left="360"/>
        <w:jc w:val="both"/>
        <w:rPr>
          <w:b/>
          <w:bCs/>
        </w:rPr>
      </w:pPr>
      <w:r w:rsidRPr="00C57FC0">
        <w:rPr>
          <w:rFonts w:ascii="Palatino Linotype" w:hAnsi="Palatino Linotype"/>
          <w:b/>
          <w:bCs/>
          <w:color w:val="000000"/>
        </w:rPr>
        <w:t>Competitive Landscape:</w:t>
      </w:r>
    </w:p>
    <w:p w14:paraId="2B03DC23"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HemoCue Hb 301 — The clinical gold standard, but ₱125,000/unit + ₱150/cuvette means chronic BHS stockouts. TingínHB doesn't replace it — it identifies who needs HemoCue confirmation, making the device's limited supply go further.</w:t>
      </w:r>
    </w:p>
    <w:p w14:paraId="4E20F352"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AnemoCheck (Sanguina Inc., US) — Fingernail only, melanin-sensitive, requires a prior lab CBC for calibration, and is not available in the Philippines.</w:t>
      </w:r>
    </w:p>
    <w:p w14:paraId="61236B00"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HemaApp (Univ. of Washington) — Research prototype requiring external IR LED hardware. No deployable mobile application.</w:t>
      </w:r>
    </w:p>
    <w:p w14:paraId="26CCD384"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Masimo Pronto SpHb — $3,000–5,000 dedicated hardware per unit. Inaccessible in any Philippine community health setting.</w:t>
      </w:r>
    </w:p>
    <w:p w14:paraId="1ADB33BD" w14:textId="77777777" w:rsidR="00906E92" w:rsidRPr="00C57FC0" w:rsidRDefault="00000000" w:rsidP="003D323F">
      <w:pPr>
        <w:spacing w:after="60"/>
        <w:ind w:left="360"/>
        <w:jc w:val="both"/>
        <w:rPr>
          <w:b/>
          <w:bCs/>
        </w:rPr>
      </w:pPr>
      <w:r w:rsidRPr="00C57FC0">
        <w:rPr>
          <w:rFonts w:ascii="Palatino Linotype" w:hAnsi="Palatino Linotype"/>
          <w:b/>
          <w:bCs/>
          <w:color w:val="000000"/>
        </w:rPr>
        <w:t>Market Trends:</w:t>
      </w:r>
    </w:p>
    <w:p w14:paraId="665CA9C2"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DOH Digital Health Transformation Roadmap (2023–2028) explicitly targets software-based diagnostic tools for primary care expansion.</w:t>
      </w:r>
    </w:p>
    <w:p w14:paraId="0BE957FD"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RA 11223 Universal Health Care Act mandates extending diagnostic coverage to GIDAs — creating an active government procurement pathway for solutions like TingínHB.</w:t>
      </w:r>
    </w:p>
    <w:p w14:paraId="11E13697" w14:textId="77777777" w:rsidR="00906E92" w:rsidRDefault="00000000" w:rsidP="003D323F">
      <w:pPr>
        <w:pStyle w:val="ListBullet"/>
        <w:tabs>
          <w:tab w:val="clear" w:pos="360"/>
          <w:tab w:val="num" w:pos="720"/>
        </w:tabs>
        <w:spacing w:after="240"/>
        <w:ind w:left="720"/>
        <w:jc w:val="both"/>
      </w:pPr>
      <w:r>
        <w:rPr>
          <w:rFonts w:ascii="Palatino Linotype" w:hAnsi="Palatino Linotype"/>
          <w:color w:val="000000"/>
        </w:rPr>
        <w:t>DICT's Startup Grant Fund (SGF) and PSC XI specifically support ICT-enabled health solutions at the student and early-stage level.</w:t>
      </w:r>
    </w:p>
    <w:p w14:paraId="07F802BF" w14:textId="77777777" w:rsidR="00906E92" w:rsidRDefault="00000000" w:rsidP="003D323F">
      <w:pPr>
        <w:spacing w:before="240" w:after="80"/>
        <w:jc w:val="both"/>
      </w:pPr>
      <w:r>
        <w:rPr>
          <w:rFonts w:ascii="Palatino Linotype" w:hAnsi="Palatino Linotype"/>
          <w:b/>
          <w:color w:val="000000"/>
        </w:rPr>
        <w:t>IX. OPERATIONS PLAN</w:t>
      </w:r>
    </w:p>
    <w:p w14:paraId="508DFC3A" w14:textId="77777777" w:rsidR="00906E92" w:rsidRPr="00C57FC0" w:rsidRDefault="00000000" w:rsidP="003D323F">
      <w:pPr>
        <w:spacing w:after="60"/>
        <w:ind w:left="360"/>
        <w:jc w:val="both"/>
        <w:rPr>
          <w:b/>
          <w:bCs/>
        </w:rPr>
      </w:pPr>
      <w:r w:rsidRPr="00C57FC0">
        <w:rPr>
          <w:rFonts w:ascii="Palatino Linotype" w:hAnsi="Palatino Linotype"/>
          <w:b/>
          <w:bCs/>
          <w:color w:val="000000"/>
        </w:rPr>
        <w:t>Phase 1 — Build and Validate (Months 1–12):</w:t>
      </w:r>
    </w:p>
    <w:p w14:paraId="721228AA"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Complete TingínHB Flutter mobile app: dual-site camera UI, on-device AI inference, four-tier risk classifier, offline patient registry, and one-tap PhilHealth Konsulta PDF generation.</w:t>
      </w:r>
    </w:p>
    <w:p w14:paraId="3DAEFBAB"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lastRenderedPageBreak/>
        <w:t>Finalize AI model training on combined benchmark datasets (CP-AnemiC, EYES-DEFY-ANEMIA, Mannino et al.) and export to INT8 TFLite format for sub-60ms inference on low-end Android SoCs.</w:t>
      </w:r>
    </w:p>
    <w:p w14:paraId="7CF996F9"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Conduct Philippine pilot validation study: partner with a USTP-affiliated RHU or community health center for n ≥ 100 paired screenings (TingínHB vs. laboratory CBC ground truth).</w:t>
      </w:r>
    </w:p>
    <w:p w14:paraId="0E21D615" w14:textId="77777777" w:rsidR="00906E92" w:rsidRPr="00C57FC0" w:rsidRDefault="00000000" w:rsidP="003D323F">
      <w:pPr>
        <w:pStyle w:val="ListBullet"/>
        <w:tabs>
          <w:tab w:val="clear" w:pos="360"/>
          <w:tab w:val="num" w:pos="720"/>
        </w:tabs>
        <w:spacing w:after="60"/>
        <w:ind w:left="720"/>
        <w:jc w:val="both"/>
      </w:pPr>
      <w:r>
        <w:rPr>
          <w:rFonts w:ascii="Palatino Linotype" w:hAnsi="Palatino Linotype"/>
          <w:color w:val="000000"/>
        </w:rPr>
        <w:t>Compete in PSC XI Regional and National rounds; incorporate judge feedback into product iterations.</w:t>
      </w:r>
    </w:p>
    <w:p w14:paraId="028982B3" w14:textId="77777777" w:rsidR="00C57FC0" w:rsidRDefault="00C57FC0" w:rsidP="003D323F">
      <w:pPr>
        <w:pStyle w:val="ListBullet"/>
        <w:numPr>
          <w:ilvl w:val="0"/>
          <w:numId w:val="0"/>
        </w:numPr>
        <w:spacing w:after="60"/>
        <w:ind w:left="360" w:hanging="360"/>
        <w:jc w:val="both"/>
      </w:pPr>
    </w:p>
    <w:p w14:paraId="431E8E6A" w14:textId="77777777" w:rsidR="00906E92" w:rsidRPr="00C57FC0" w:rsidRDefault="00000000" w:rsidP="003D323F">
      <w:pPr>
        <w:spacing w:after="60"/>
        <w:ind w:left="360"/>
        <w:jc w:val="both"/>
        <w:rPr>
          <w:b/>
          <w:bCs/>
        </w:rPr>
      </w:pPr>
      <w:r w:rsidRPr="00C57FC0">
        <w:rPr>
          <w:rFonts w:ascii="Palatino Linotype" w:hAnsi="Palatino Linotype"/>
          <w:b/>
          <w:bCs/>
          <w:color w:val="000000"/>
        </w:rPr>
        <w:t>Phase 2 — Pilot Deployment (Months 13–24):</w:t>
      </w:r>
    </w:p>
    <w:p w14:paraId="064A477C"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Deploy app to 2–3 LGU-partnered GIDA municipalities in Northern Mindanao under a DOH/LGU agreement.</w:t>
      </w:r>
    </w:p>
    <w:p w14:paraId="6AA524C1"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Train BHWs using the built-in &lt;30-minute onboarding module; collect real-world usage data and model performance metrics.</w:t>
      </w:r>
    </w:p>
    <w:p w14:paraId="5C7FEF9B" w14:textId="77777777" w:rsidR="00906E92" w:rsidRPr="00C57FC0" w:rsidRDefault="00000000" w:rsidP="003D323F">
      <w:pPr>
        <w:pStyle w:val="ListBullet"/>
        <w:tabs>
          <w:tab w:val="clear" w:pos="360"/>
          <w:tab w:val="num" w:pos="720"/>
        </w:tabs>
        <w:spacing w:after="60"/>
        <w:ind w:left="720"/>
        <w:jc w:val="both"/>
      </w:pPr>
      <w:r>
        <w:rPr>
          <w:rFonts w:ascii="Palatino Linotype" w:hAnsi="Palatino Linotype"/>
          <w:color w:val="000000"/>
        </w:rPr>
        <w:t>Initiate PFDA Class B Software as a Medical Device (SaMD) regulatory pre-assessment engagement.</w:t>
      </w:r>
    </w:p>
    <w:p w14:paraId="54ECA215" w14:textId="77777777" w:rsidR="00C57FC0" w:rsidRDefault="00C57FC0" w:rsidP="003D323F">
      <w:pPr>
        <w:pStyle w:val="ListBullet"/>
        <w:numPr>
          <w:ilvl w:val="0"/>
          <w:numId w:val="0"/>
        </w:numPr>
        <w:spacing w:after="60"/>
        <w:ind w:left="360"/>
        <w:jc w:val="both"/>
      </w:pPr>
    </w:p>
    <w:p w14:paraId="3317F1F0" w14:textId="77777777" w:rsidR="00906E92" w:rsidRPr="00C57FC0" w:rsidRDefault="00000000" w:rsidP="003D323F">
      <w:pPr>
        <w:spacing w:after="60"/>
        <w:ind w:left="360"/>
        <w:jc w:val="both"/>
        <w:rPr>
          <w:b/>
          <w:bCs/>
        </w:rPr>
      </w:pPr>
      <w:r w:rsidRPr="00C57FC0">
        <w:rPr>
          <w:rFonts w:ascii="Palatino Linotype" w:hAnsi="Palatino Linotype"/>
          <w:b/>
          <w:bCs/>
          <w:color w:val="000000"/>
        </w:rPr>
        <w:t>Phase 3 — Scale and Sustainability (Year 3+):</w:t>
      </w:r>
    </w:p>
    <w:p w14:paraId="38A95BDB"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Pursue formal DOH procurement agreement and PhilHealth Konsulta platform integration.</w:t>
      </w:r>
    </w:p>
    <w:p w14:paraId="5435A7F7"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Expand pilot to regional health system level; seek PFDA Class B clearance.</w:t>
      </w:r>
    </w:p>
    <w:p w14:paraId="29798C8B" w14:textId="77777777" w:rsidR="00906E92" w:rsidRPr="00C57FC0" w:rsidRDefault="00000000" w:rsidP="003D323F">
      <w:pPr>
        <w:pStyle w:val="ListBullet"/>
        <w:tabs>
          <w:tab w:val="clear" w:pos="360"/>
          <w:tab w:val="num" w:pos="720"/>
        </w:tabs>
        <w:spacing w:after="60"/>
        <w:ind w:left="720"/>
        <w:jc w:val="both"/>
      </w:pPr>
      <w:r>
        <w:rPr>
          <w:rFonts w:ascii="Palatino Linotype" w:hAnsi="Palatino Linotype"/>
          <w:color w:val="000000"/>
        </w:rPr>
        <w:t>Apply to DICT Startup Grant Fund (SGF) for scale-up capital.</w:t>
      </w:r>
    </w:p>
    <w:p w14:paraId="11DF833B" w14:textId="77777777" w:rsidR="00C57FC0" w:rsidRDefault="00C57FC0" w:rsidP="003D323F">
      <w:pPr>
        <w:pStyle w:val="ListBullet"/>
        <w:numPr>
          <w:ilvl w:val="0"/>
          <w:numId w:val="0"/>
        </w:numPr>
        <w:spacing w:after="60"/>
        <w:ind w:left="360"/>
        <w:jc w:val="both"/>
      </w:pPr>
    </w:p>
    <w:p w14:paraId="371173DC" w14:textId="77777777" w:rsidR="00906E92" w:rsidRPr="00C57FC0" w:rsidRDefault="00000000" w:rsidP="003D323F">
      <w:pPr>
        <w:spacing w:after="60"/>
        <w:ind w:left="360"/>
        <w:jc w:val="both"/>
        <w:rPr>
          <w:b/>
          <w:bCs/>
        </w:rPr>
      </w:pPr>
      <w:r w:rsidRPr="00C57FC0">
        <w:rPr>
          <w:rFonts w:ascii="Palatino Linotype" w:hAnsi="Palatino Linotype"/>
          <w:b/>
          <w:bCs/>
          <w:color w:val="000000"/>
        </w:rPr>
        <w:t>Team Roles:</w:t>
      </w:r>
    </w:p>
    <w:p w14:paraId="33967DB6"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Rogelio Q. Mandamian III — Lead AI/ML Engineer: model training, TFLite quantization, dual-site fusion architecture</w:t>
      </w:r>
    </w:p>
    <w:p w14:paraId="2F619133"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Kirsten Roise Moog — Mobile Application Developer: Flutter, CameraX, referral PDF system, offline patient registry</w:t>
      </w:r>
    </w:p>
    <w:p w14:paraId="4D0C2273" w14:textId="77777777" w:rsidR="00906E92" w:rsidRDefault="00000000" w:rsidP="003D323F">
      <w:pPr>
        <w:pStyle w:val="ListBullet"/>
        <w:tabs>
          <w:tab w:val="clear" w:pos="360"/>
          <w:tab w:val="num" w:pos="720"/>
        </w:tabs>
        <w:spacing w:after="60"/>
        <w:ind w:left="720"/>
        <w:jc w:val="both"/>
      </w:pPr>
      <w:r>
        <w:rPr>
          <w:rFonts w:ascii="Palatino Linotype" w:hAnsi="Palatino Linotype"/>
          <w:color w:val="000000"/>
        </w:rPr>
        <w:t>[3rd Member — TBD] — Data Engineer / Field Liaison: dataset management, pilot coordination, performance evaluation</w:t>
      </w:r>
    </w:p>
    <w:p w14:paraId="65927635" w14:textId="77777777" w:rsidR="00906E92" w:rsidRDefault="00000000" w:rsidP="003D323F">
      <w:pPr>
        <w:pStyle w:val="ListBullet"/>
        <w:tabs>
          <w:tab w:val="clear" w:pos="360"/>
          <w:tab w:val="num" w:pos="720"/>
        </w:tabs>
        <w:spacing w:after="240"/>
        <w:ind w:left="720"/>
        <w:jc w:val="both"/>
      </w:pPr>
      <w:r>
        <w:rPr>
          <w:rFonts w:ascii="Palatino Linotype" w:hAnsi="Palatino Linotype"/>
          <w:color w:val="000000"/>
        </w:rPr>
        <w:t>[Faculty Mentor — TBD] — Research Adviser: institutional endorsement, IRB oversight, clinical network access</w:t>
      </w:r>
    </w:p>
    <w:p w14:paraId="3ECDC6B1" w14:textId="77777777" w:rsidR="00906E92" w:rsidRDefault="00000000" w:rsidP="003D323F">
      <w:pPr>
        <w:spacing w:before="240" w:after="80"/>
        <w:jc w:val="both"/>
      </w:pPr>
      <w:r>
        <w:rPr>
          <w:rFonts w:ascii="Palatino Linotype" w:hAnsi="Palatino Linotype"/>
          <w:b/>
          <w:color w:val="000000"/>
        </w:rPr>
        <w:t>X. FINANCIAL REQUIREMENT</w:t>
      </w:r>
    </w:p>
    <w:p w14:paraId="774C3C4E" w14:textId="77777777" w:rsidR="00906E92" w:rsidRDefault="00000000" w:rsidP="003D323F">
      <w:pPr>
        <w:spacing w:after="120"/>
        <w:ind w:left="720"/>
        <w:jc w:val="both"/>
      </w:pPr>
      <w:r>
        <w:rPr>
          <w:rFonts w:ascii="Palatino Linotype" w:hAnsi="Palatino Linotype"/>
          <w:color w:val="000000"/>
        </w:rPr>
        <w:t>TingínHB requests ₱280,000 in seed funding to cover prototype completion, Philippine clinical validation, and initial field deployment. This is a one-time development investment — subsequent deployments carry ₱0 per-device or per-screening cost.</w:t>
      </w:r>
    </w:p>
    <w:tbl>
      <w:tblPr>
        <w:tblStyle w:val="TableGrid"/>
        <w:tblW w:w="8727" w:type="dxa"/>
        <w:tblInd w:w="720" w:type="dxa"/>
        <w:tblLook w:val="04A0" w:firstRow="1" w:lastRow="0" w:firstColumn="1" w:lastColumn="0" w:noHBand="0" w:noVBand="1"/>
      </w:tblPr>
      <w:tblGrid>
        <w:gridCol w:w="3698"/>
        <w:gridCol w:w="1736"/>
        <w:gridCol w:w="3293"/>
      </w:tblGrid>
      <w:tr w:rsidR="00906E92" w14:paraId="46085C44" w14:textId="77777777" w:rsidTr="008A2307">
        <w:tc>
          <w:tcPr>
            <w:tcW w:w="3698" w:type="dxa"/>
          </w:tcPr>
          <w:p w14:paraId="42B26B88" w14:textId="77777777" w:rsidR="00906E92" w:rsidRDefault="00000000" w:rsidP="003D323F">
            <w:pPr>
              <w:spacing w:line="276" w:lineRule="auto"/>
              <w:jc w:val="both"/>
            </w:pPr>
            <w:r>
              <w:rPr>
                <w:rFonts w:ascii="Palatino Linotype" w:hAnsi="Palatino Linotype"/>
                <w:b/>
                <w:sz w:val="20"/>
              </w:rPr>
              <w:t>Budget Line Item</w:t>
            </w:r>
          </w:p>
        </w:tc>
        <w:tc>
          <w:tcPr>
            <w:tcW w:w="1736" w:type="dxa"/>
          </w:tcPr>
          <w:p w14:paraId="51D40929" w14:textId="77777777" w:rsidR="00906E92" w:rsidRDefault="00000000" w:rsidP="003D323F">
            <w:pPr>
              <w:spacing w:line="276" w:lineRule="auto"/>
              <w:jc w:val="both"/>
            </w:pPr>
            <w:r>
              <w:rPr>
                <w:rFonts w:ascii="Palatino Linotype" w:hAnsi="Palatino Linotype"/>
                <w:b/>
                <w:sz w:val="20"/>
              </w:rPr>
              <w:t>Amount (PHP)</w:t>
            </w:r>
          </w:p>
        </w:tc>
        <w:tc>
          <w:tcPr>
            <w:tcW w:w="3293" w:type="dxa"/>
          </w:tcPr>
          <w:p w14:paraId="4E70520B" w14:textId="77777777" w:rsidR="00906E92" w:rsidRDefault="00000000" w:rsidP="003D323F">
            <w:pPr>
              <w:spacing w:line="276" w:lineRule="auto"/>
              <w:jc w:val="both"/>
            </w:pPr>
            <w:r>
              <w:rPr>
                <w:rFonts w:ascii="Palatino Linotype" w:hAnsi="Palatino Linotype"/>
                <w:b/>
                <w:sz w:val="20"/>
              </w:rPr>
              <w:t>Purpose</w:t>
            </w:r>
          </w:p>
        </w:tc>
      </w:tr>
      <w:tr w:rsidR="00906E92" w14:paraId="371CA52F" w14:textId="77777777" w:rsidTr="008A2307">
        <w:tc>
          <w:tcPr>
            <w:tcW w:w="3698" w:type="dxa"/>
          </w:tcPr>
          <w:p w14:paraId="49C88899" w14:textId="77777777" w:rsidR="00906E92" w:rsidRDefault="00000000" w:rsidP="003D323F">
            <w:pPr>
              <w:spacing w:line="276" w:lineRule="auto"/>
              <w:jc w:val="both"/>
            </w:pPr>
            <w:r>
              <w:rPr>
                <w:rFonts w:ascii="Palatino Linotype" w:hAnsi="Palatino Linotype"/>
                <w:sz w:val="20"/>
              </w:rPr>
              <w:t xml:space="preserve">GPU Compute / Cloud Credits for AI </w:t>
            </w:r>
            <w:r>
              <w:rPr>
                <w:rFonts w:ascii="Palatino Linotype" w:hAnsi="Palatino Linotype"/>
                <w:sz w:val="20"/>
              </w:rPr>
              <w:lastRenderedPageBreak/>
              <w:t>Training</w:t>
            </w:r>
          </w:p>
        </w:tc>
        <w:tc>
          <w:tcPr>
            <w:tcW w:w="1736" w:type="dxa"/>
          </w:tcPr>
          <w:p w14:paraId="2D2D4500" w14:textId="77777777" w:rsidR="00906E92" w:rsidRDefault="00000000" w:rsidP="003D323F">
            <w:pPr>
              <w:spacing w:line="276" w:lineRule="auto"/>
              <w:jc w:val="both"/>
            </w:pPr>
            <w:r>
              <w:rPr>
                <w:rFonts w:ascii="Palatino Linotype" w:hAnsi="Palatino Linotype"/>
                <w:sz w:val="20"/>
              </w:rPr>
              <w:lastRenderedPageBreak/>
              <w:t>₱ 80,000</w:t>
            </w:r>
          </w:p>
        </w:tc>
        <w:tc>
          <w:tcPr>
            <w:tcW w:w="3293" w:type="dxa"/>
          </w:tcPr>
          <w:p w14:paraId="3CBCEEA9" w14:textId="77777777" w:rsidR="00906E92" w:rsidRDefault="00000000" w:rsidP="003D323F">
            <w:pPr>
              <w:spacing w:line="276" w:lineRule="auto"/>
              <w:jc w:val="both"/>
            </w:pPr>
            <w:r>
              <w:rPr>
                <w:rFonts w:ascii="Palatino Linotype" w:hAnsi="Palatino Linotype"/>
                <w:sz w:val="20"/>
              </w:rPr>
              <w:t xml:space="preserve">Model training, ablation studies, </w:t>
            </w:r>
            <w:r>
              <w:rPr>
                <w:rFonts w:ascii="Palatino Linotype" w:hAnsi="Palatino Linotype"/>
                <w:sz w:val="20"/>
              </w:rPr>
              <w:lastRenderedPageBreak/>
              <w:t>INT8 quantization</w:t>
            </w:r>
          </w:p>
        </w:tc>
      </w:tr>
      <w:tr w:rsidR="00906E92" w14:paraId="76389646" w14:textId="77777777" w:rsidTr="008A2307">
        <w:tc>
          <w:tcPr>
            <w:tcW w:w="3698" w:type="dxa"/>
          </w:tcPr>
          <w:p w14:paraId="60F9C31B" w14:textId="77777777" w:rsidR="00906E92" w:rsidRDefault="00000000" w:rsidP="003D323F">
            <w:pPr>
              <w:spacing w:line="276" w:lineRule="auto"/>
              <w:jc w:val="both"/>
            </w:pPr>
            <w:r>
              <w:rPr>
                <w:rFonts w:ascii="Palatino Linotype" w:hAnsi="Palatino Linotype"/>
                <w:sz w:val="20"/>
              </w:rPr>
              <w:lastRenderedPageBreak/>
              <w:t>Mobile Test Devices (3× low/mid/high tier)</w:t>
            </w:r>
          </w:p>
        </w:tc>
        <w:tc>
          <w:tcPr>
            <w:tcW w:w="1736" w:type="dxa"/>
          </w:tcPr>
          <w:p w14:paraId="68BEC423" w14:textId="77777777" w:rsidR="00906E92" w:rsidRDefault="00000000" w:rsidP="003D323F">
            <w:pPr>
              <w:spacing w:line="276" w:lineRule="auto"/>
              <w:jc w:val="both"/>
            </w:pPr>
            <w:r>
              <w:rPr>
                <w:rFonts w:ascii="Palatino Linotype" w:hAnsi="Palatino Linotype"/>
                <w:sz w:val="20"/>
              </w:rPr>
              <w:t>₱ 30,000</w:t>
            </w:r>
          </w:p>
        </w:tc>
        <w:tc>
          <w:tcPr>
            <w:tcW w:w="3293" w:type="dxa"/>
          </w:tcPr>
          <w:p w14:paraId="7977710A" w14:textId="77777777" w:rsidR="00906E92" w:rsidRDefault="00000000" w:rsidP="003D323F">
            <w:pPr>
              <w:spacing w:line="276" w:lineRule="auto"/>
              <w:jc w:val="both"/>
            </w:pPr>
            <w:r>
              <w:rPr>
                <w:rFonts w:ascii="Palatino Linotype" w:hAnsi="Palatino Linotype"/>
                <w:sz w:val="20"/>
              </w:rPr>
              <w:t>Cross-device inference testing and QA</w:t>
            </w:r>
          </w:p>
        </w:tc>
      </w:tr>
      <w:tr w:rsidR="00906E92" w14:paraId="2FA8FDF1" w14:textId="77777777" w:rsidTr="008A2307">
        <w:tc>
          <w:tcPr>
            <w:tcW w:w="3698" w:type="dxa"/>
          </w:tcPr>
          <w:p w14:paraId="73E9EF31" w14:textId="77777777" w:rsidR="00906E92" w:rsidRDefault="00000000" w:rsidP="003D323F">
            <w:pPr>
              <w:spacing w:line="276" w:lineRule="auto"/>
              <w:jc w:val="both"/>
            </w:pPr>
            <w:r>
              <w:rPr>
                <w:rFonts w:ascii="Palatino Linotype" w:hAnsi="Palatino Linotype"/>
                <w:sz w:val="20"/>
              </w:rPr>
              <w:t>Philippine Clinical Validation Study</w:t>
            </w:r>
          </w:p>
        </w:tc>
        <w:tc>
          <w:tcPr>
            <w:tcW w:w="1736" w:type="dxa"/>
          </w:tcPr>
          <w:p w14:paraId="708A1D10" w14:textId="77777777" w:rsidR="00906E92" w:rsidRDefault="00000000" w:rsidP="003D323F">
            <w:pPr>
              <w:spacing w:line="276" w:lineRule="auto"/>
              <w:jc w:val="both"/>
            </w:pPr>
            <w:r>
              <w:rPr>
                <w:rFonts w:ascii="Palatino Linotype" w:hAnsi="Palatino Linotype"/>
                <w:sz w:val="20"/>
              </w:rPr>
              <w:t>₱ 80,000</w:t>
            </w:r>
          </w:p>
        </w:tc>
        <w:tc>
          <w:tcPr>
            <w:tcW w:w="3293" w:type="dxa"/>
          </w:tcPr>
          <w:p w14:paraId="7D89EF29" w14:textId="77777777" w:rsidR="00906E92" w:rsidRDefault="00000000" w:rsidP="003D323F">
            <w:pPr>
              <w:spacing w:line="276" w:lineRule="auto"/>
              <w:jc w:val="both"/>
            </w:pPr>
            <w:r>
              <w:rPr>
                <w:rFonts w:ascii="Palatino Linotype" w:hAnsi="Palatino Linotype"/>
                <w:sz w:val="20"/>
              </w:rPr>
              <w:t>n ≥ 100 paired screenings; IRB, travel, patient coordination</w:t>
            </w:r>
          </w:p>
        </w:tc>
      </w:tr>
      <w:tr w:rsidR="00906E92" w14:paraId="7506E497" w14:textId="77777777" w:rsidTr="008A2307">
        <w:tc>
          <w:tcPr>
            <w:tcW w:w="3698" w:type="dxa"/>
          </w:tcPr>
          <w:p w14:paraId="0122DEBF" w14:textId="77777777" w:rsidR="00906E92" w:rsidRDefault="00000000" w:rsidP="003D323F">
            <w:pPr>
              <w:spacing w:line="276" w:lineRule="auto"/>
              <w:jc w:val="both"/>
            </w:pPr>
            <w:r>
              <w:rPr>
                <w:rFonts w:ascii="Palatino Linotype" w:hAnsi="Palatino Linotype"/>
                <w:sz w:val="20"/>
              </w:rPr>
              <w:t>App Development Tools &amp; Deployment</w:t>
            </w:r>
          </w:p>
        </w:tc>
        <w:tc>
          <w:tcPr>
            <w:tcW w:w="1736" w:type="dxa"/>
          </w:tcPr>
          <w:p w14:paraId="31C7F0D9" w14:textId="77777777" w:rsidR="00906E92" w:rsidRDefault="00000000" w:rsidP="003D323F">
            <w:pPr>
              <w:spacing w:line="276" w:lineRule="auto"/>
              <w:jc w:val="both"/>
            </w:pPr>
            <w:r>
              <w:rPr>
                <w:rFonts w:ascii="Palatino Linotype" w:hAnsi="Palatino Linotype"/>
                <w:sz w:val="20"/>
              </w:rPr>
              <w:t>₱ 20,000</w:t>
            </w:r>
          </w:p>
        </w:tc>
        <w:tc>
          <w:tcPr>
            <w:tcW w:w="3293" w:type="dxa"/>
          </w:tcPr>
          <w:p w14:paraId="5E6F75CB" w14:textId="77777777" w:rsidR="00906E92" w:rsidRDefault="00000000" w:rsidP="003D323F">
            <w:pPr>
              <w:spacing w:line="276" w:lineRule="auto"/>
              <w:jc w:val="both"/>
            </w:pPr>
            <w:r>
              <w:rPr>
                <w:rFonts w:ascii="Palatino Linotype" w:hAnsi="Palatino Linotype"/>
                <w:sz w:val="20"/>
              </w:rPr>
              <w:t>Flutter build, PDF generation, sqflite local database</w:t>
            </w:r>
          </w:p>
        </w:tc>
      </w:tr>
      <w:tr w:rsidR="00906E92" w14:paraId="2F7D9057" w14:textId="77777777" w:rsidTr="008A2307">
        <w:tc>
          <w:tcPr>
            <w:tcW w:w="3698" w:type="dxa"/>
          </w:tcPr>
          <w:p w14:paraId="247C7655" w14:textId="77777777" w:rsidR="00906E92" w:rsidRDefault="00000000" w:rsidP="003D323F">
            <w:pPr>
              <w:spacing w:line="276" w:lineRule="auto"/>
              <w:jc w:val="both"/>
            </w:pPr>
            <w:r>
              <w:rPr>
                <w:rFonts w:ascii="Palatino Linotype" w:hAnsi="Palatino Linotype"/>
                <w:sz w:val="20"/>
              </w:rPr>
              <w:t>PFDA Regulatory Consultation</w:t>
            </w:r>
          </w:p>
        </w:tc>
        <w:tc>
          <w:tcPr>
            <w:tcW w:w="1736" w:type="dxa"/>
          </w:tcPr>
          <w:p w14:paraId="55D46FEC" w14:textId="77777777" w:rsidR="00906E92" w:rsidRDefault="00000000" w:rsidP="003D323F">
            <w:pPr>
              <w:spacing w:line="276" w:lineRule="auto"/>
              <w:jc w:val="both"/>
            </w:pPr>
            <w:r>
              <w:rPr>
                <w:rFonts w:ascii="Palatino Linotype" w:hAnsi="Palatino Linotype"/>
                <w:sz w:val="20"/>
              </w:rPr>
              <w:t>₱ 30,000</w:t>
            </w:r>
          </w:p>
        </w:tc>
        <w:tc>
          <w:tcPr>
            <w:tcW w:w="3293" w:type="dxa"/>
          </w:tcPr>
          <w:p w14:paraId="51D690CB" w14:textId="77777777" w:rsidR="00906E92" w:rsidRDefault="00000000" w:rsidP="003D323F">
            <w:pPr>
              <w:spacing w:line="276" w:lineRule="auto"/>
              <w:jc w:val="both"/>
            </w:pPr>
            <w:r>
              <w:rPr>
                <w:rFonts w:ascii="Palatino Linotype" w:hAnsi="Palatino Linotype"/>
                <w:sz w:val="20"/>
              </w:rPr>
              <w:t>Class B SaMD pre-assessment filing</w:t>
            </w:r>
          </w:p>
        </w:tc>
      </w:tr>
      <w:tr w:rsidR="00906E92" w14:paraId="2AD2C434" w14:textId="77777777" w:rsidTr="008A2307">
        <w:tc>
          <w:tcPr>
            <w:tcW w:w="3698" w:type="dxa"/>
          </w:tcPr>
          <w:p w14:paraId="7F173637" w14:textId="77777777" w:rsidR="00906E92" w:rsidRDefault="00000000" w:rsidP="003D323F">
            <w:pPr>
              <w:spacing w:line="276" w:lineRule="auto"/>
              <w:jc w:val="both"/>
            </w:pPr>
            <w:r>
              <w:rPr>
                <w:rFonts w:ascii="Palatino Linotype" w:hAnsi="Palatino Linotype"/>
                <w:sz w:val="20"/>
              </w:rPr>
              <w:t>BHW Training Materials</w:t>
            </w:r>
          </w:p>
        </w:tc>
        <w:tc>
          <w:tcPr>
            <w:tcW w:w="1736" w:type="dxa"/>
          </w:tcPr>
          <w:p w14:paraId="3887C94D" w14:textId="77777777" w:rsidR="00906E92" w:rsidRDefault="00000000" w:rsidP="003D323F">
            <w:pPr>
              <w:spacing w:line="276" w:lineRule="auto"/>
              <w:jc w:val="both"/>
            </w:pPr>
            <w:r>
              <w:rPr>
                <w:rFonts w:ascii="Palatino Linotype" w:hAnsi="Palatino Linotype"/>
                <w:sz w:val="20"/>
              </w:rPr>
              <w:t>₱ 15,000</w:t>
            </w:r>
          </w:p>
        </w:tc>
        <w:tc>
          <w:tcPr>
            <w:tcW w:w="3293" w:type="dxa"/>
          </w:tcPr>
          <w:p w14:paraId="4C426969" w14:textId="77777777" w:rsidR="00906E92" w:rsidRDefault="00000000" w:rsidP="003D323F">
            <w:pPr>
              <w:spacing w:line="276" w:lineRule="auto"/>
              <w:jc w:val="both"/>
            </w:pPr>
            <w:r>
              <w:rPr>
                <w:rFonts w:ascii="Palatino Linotype" w:hAnsi="Palatino Linotype"/>
                <w:sz w:val="20"/>
              </w:rPr>
              <w:t>Printed field guides, orientation video production</w:t>
            </w:r>
          </w:p>
        </w:tc>
      </w:tr>
      <w:tr w:rsidR="00906E92" w14:paraId="0C61D4E6" w14:textId="77777777" w:rsidTr="008A2307">
        <w:tc>
          <w:tcPr>
            <w:tcW w:w="3698" w:type="dxa"/>
          </w:tcPr>
          <w:p w14:paraId="72BDB74F" w14:textId="77777777" w:rsidR="00906E92" w:rsidRDefault="00000000" w:rsidP="003D323F">
            <w:pPr>
              <w:spacing w:line="276" w:lineRule="auto"/>
              <w:jc w:val="both"/>
            </w:pPr>
            <w:r>
              <w:rPr>
                <w:rFonts w:ascii="Palatino Linotype" w:hAnsi="Palatino Linotype"/>
                <w:sz w:val="20"/>
              </w:rPr>
              <w:t>Contingency (10%)</w:t>
            </w:r>
          </w:p>
        </w:tc>
        <w:tc>
          <w:tcPr>
            <w:tcW w:w="1736" w:type="dxa"/>
          </w:tcPr>
          <w:p w14:paraId="732E4948" w14:textId="77777777" w:rsidR="00906E92" w:rsidRDefault="00000000" w:rsidP="003D323F">
            <w:pPr>
              <w:spacing w:line="276" w:lineRule="auto"/>
              <w:jc w:val="both"/>
            </w:pPr>
            <w:r>
              <w:rPr>
                <w:rFonts w:ascii="Palatino Linotype" w:hAnsi="Palatino Linotype"/>
                <w:sz w:val="20"/>
              </w:rPr>
              <w:t>₱ 25,000</w:t>
            </w:r>
          </w:p>
        </w:tc>
        <w:tc>
          <w:tcPr>
            <w:tcW w:w="3293" w:type="dxa"/>
          </w:tcPr>
          <w:p w14:paraId="51BE4B76" w14:textId="77777777" w:rsidR="00906E92" w:rsidRDefault="00000000" w:rsidP="003D323F">
            <w:pPr>
              <w:spacing w:line="276" w:lineRule="auto"/>
              <w:jc w:val="both"/>
            </w:pPr>
            <w:r>
              <w:rPr>
                <w:rFonts w:ascii="Palatino Linotype" w:hAnsi="Palatino Linotype"/>
                <w:sz w:val="20"/>
              </w:rPr>
              <w:t>Unplanned field or technical costs</w:t>
            </w:r>
          </w:p>
        </w:tc>
      </w:tr>
      <w:tr w:rsidR="00906E92" w14:paraId="6B363D69" w14:textId="77777777" w:rsidTr="008A2307">
        <w:tc>
          <w:tcPr>
            <w:tcW w:w="3698" w:type="dxa"/>
          </w:tcPr>
          <w:p w14:paraId="203125AB" w14:textId="77777777" w:rsidR="00906E92" w:rsidRDefault="00000000" w:rsidP="003D323F">
            <w:pPr>
              <w:spacing w:line="276" w:lineRule="auto"/>
              <w:jc w:val="both"/>
            </w:pPr>
            <w:r>
              <w:rPr>
                <w:rFonts w:ascii="Palatino Linotype" w:hAnsi="Palatino Linotype"/>
                <w:sz w:val="20"/>
              </w:rPr>
              <w:t>TOTAL</w:t>
            </w:r>
          </w:p>
        </w:tc>
        <w:tc>
          <w:tcPr>
            <w:tcW w:w="1736" w:type="dxa"/>
          </w:tcPr>
          <w:p w14:paraId="187EC7BF" w14:textId="77777777" w:rsidR="00906E92" w:rsidRDefault="00000000" w:rsidP="003D323F">
            <w:pPr>
              <w:spacing w:line="276" w:lineRule="auto"/>
              <w:jc w:val="both"/>
            </w:pPr>
            <w:r>
              <w:rPr>
                <w:rFonts w:ascii="Palatino Linotype" w:hAnsi="Palatino Linotype"/>
                <w:sz w:val="20"/>
              </w:rPr>
              <w:t>₱ 280,000</w:t>
            </w:r>
          </w:p>
        </w:tc>
        <w:tc>
          <w:tcPr>
            <w:tcW w:w="3293" w:type="dxa"/>
          </w:tcPr>
          <w:p w14:paraId="52C1ADD2" w14:textId="77777777" w:rsidR="00906E92" w:rsidRDefault="00906E92" w:rsidP="003D323F">
            <w:pPr>
              <w:spacing w:line="276" w:lineRule="auto"/>
              <w:jc w:val="both"/>
            </w:pPr>
          </w:p>
        </w:tc>
      </w:tr>
    </w:tbl>
    <w:p w14:paraId="1ADEC31B" w14:textId="77777777" w:rsidR="00906E92" w:rsidRDefault="00906E92" w:rsidP="003D323F">
      <w:pPr>
        <w:ind w:left="720"/>
        <w:jc w:val="both"/>
      </w:pPr>
    </w:p>
    <w:p w14:paraId="6EEFB441" w14:textId="77777777" w:rsidR="00906E92" w:rsidRDefault="00000000" w:rsidP="003D323F">
      <w:pPr>
        <w:spacing w:after="60"/>
        <w:ind w:left="720"/>
        <w:jc w:val="both"/>
      </w:pPr>
      <w:r>
        <w:rPr>
          <w:rFonts w:ascii="Palatino Linotype" w:hAnsi="Palatino Linotype"/>
          <w:color w:val="000000"/>
        </w:rPr>
        <w:t>Proposed Funding Sources:</w:t>
      </w:r>
    </w:p>
    <w:p w14:paraId="7CE30C75"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PSC XI Award Prize — Primary seed capital</w:t>
      </w:r>
    </w:p>
    <w:p w14:paraId="2D61E59B"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DICT Startup Grant Fund (SGF) — Second-tranche application post-PSC</w:t>
      </w:r>
    </w:p>
    <w:p w14:paraId="1FB243F3"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USTP Research Grant / Technology Transfer Office — Institutional co-funding</w:t>
      </w:r>
    </w:p>
    <w:p w14:paraId="14E5968C" w14:textId="77777777" w:rsidR="00906E92" w:rsidRDefault="00000000" w:rsidP="003D323F">
      <w:pPr>
        <w:pStyle w:val="ListBullet"/>
        <w:tabs>
          <w:tab w:val="clear" w:pos="360"/>
          <w:tab w:val="num" w:pos="1080"/>
        </w:tabs>
        <w:spacing w:after="60"/>
        <w:ind w:left="1080"/>
        <w:jc w:val="both"/>
      </w:pPr>
      <w:r>
        <w:rPr>
          <w:rFonts w:ascii="Palatino Linotype" w:hAnsi="Palatino Linotype"/>
          <w:color w:val="000000"/>
        </w:rPr>
        <w:t>DOST-PCHRD Small Grant for Health Innovation — Clinical validation phase support</w:t>
      </w:r>
    </w:p>
    <w:p w14:paraId="4C3B4219" w14:textId="6084678B" w:rsidR="00906E92" w:rsidRDefault="00000000" w:rsidP="003D323F">
      <w:pPr>
        <w:spacing w:after="120"/>
        <w:ind w:left="720"/>
        <w:jc w:val="both"/>
      </w:pPr>
      <w:r>
        <w:rPr>
          <w:rFonts w:ascii="Palatino Linotype" w:hAnsi="Palatino Linotype"/>
          <w:color w:val="000000"/>
        </w:rPr>
        <w:t>At scale, TingínHB's government procurement model targets ₱3.75M ARR potential with &lt;10% BHW adoption — making this ₱280,000 seed investment the starting point of a self-sustaining public health platform.</w:t>
      </w:r>
    </w:p>
    <w:sectPr w:rsidR="00906E92" w:rsidSect="00034616">
      <w:footerReference w:type="default" r:id="rId8"/>
      <w:pgSz w:w="11909" w:h="16834"/>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0A23" w14:textId="77777777" w:rsidR="00A74BD0" w:rsidRDefault="00A74BD0" w:rsidP="009716B4">
      <w:pPr>
        <w:spacing w:after="0" w:line="240" w:lineRule="auto"/>
      </w:pPr>
      <w:r>
        <w:separator/>
      </w:r>
    </w:p>
  </w:endnote>
  <w:endnote w:type="continuationSeparator" w:id="0">
    <w:p w14:paraId="7E501503" w14:textId="77777777" w:rsidR="00A74BD0" w:rsidRDefault="00A74BD0" w:rsidP="00971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142569"/>
      <w:docPartObj>
        <w:docPartGallery w:val="Page Numbers (Bottom of Page)"/>
        <w:docPartUnique/>
      </w:docPartObj>
    </w:sdtPr>
    <w:sdtEndPr>
      <w:rPr>
        <w:noProof/>
      </w:rPr>
    </w:sdtEndPr>
    <w:sdtContent>
      <w:p w14:paraId="22C3C60C" w14:textId="69C82FCD" w:rsidR="009716B4" w:rsidRDefault="009716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A5274E" w14:textId="77777777" w:rsidR="009716B4" w:rsidRDefault="00971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D208D" w14:textId="77777777" w:rsidR="00A74BD0" w:rsidRDefault="00A74BD0" w:rsidP="009716B4">
      <w:pPr>
        <w:spacing w:after="0" w:line="240" w:lineRule="auto"/>
      </w:pPr>
      <w:r>
        <w:separator/>
      </w:r>
    </w:p>
  </w:footnote>
  <w:footnote w:type="continuationSeparator" w:id="0">
    <w:p w14:paraId="3E42AAB2" w14:textId="77777777" w:rsidR="00A74BD0" w:rsidRDefault="00A74BD0" w:rsidP="00971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356182">
    <w:abstractNumId w:val="8"/>
  </w:num>
  <w:num w:numId="2" w16cid:durableId="31463021">
    <w:abstractNumId w:val="6"/>
  </w:num>
  <w:num w:numId="3" w16cid:durableId="1348097014">
    <w:abstractNumId w:val="5"/>
  </w:num>
  <w:num w:numId="4" w16cid:durableId="2139643957">
    <w:abstractNumId w:val="4"/>
  </w:num>
  <w:num w:numId="5" w16cid:durableId="1243221678">
    <w:abstractNumId w:val="7"/>
  </w:num>
  <w:num w:numId="6" w16cid:durableId="36315552">
    <w:abstractNumId w:val="3"/>
  </w:num>
  <w:num w:numId="7" w16cid:durableId="555892784">
    <w:abstractNumId w:val="2"/>
  </w:num>
  <w:num w:numId="8" w16cid:durableId="929118412">
    <w:abstractNumId w:val="1"/>
  </w:num>
  <w:num w:numId="9" w16cid:durableId="24506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A4B"/>
    <w:rsid w:val="0006063C"/>
    <w:rsid w:val="0015074B"/>
    <w:rsid w:val="0029639D"/>
    <w:rsid w:val="00326F90"/>
    <w:rsid w:val="003D323F"/>
    <w:rsid w:val="00633F9D"/>
    <w:rsid w:val="007F67A7"/>
    <w:rsid w:val="008A2307"/>
    <w:rsid w:val="00906E92"/>
    <w:rsid w:val="009716B4"/>
    <w:rsid w:val="009C451F"/>
    <w:rsid w:val="00A74BD0"/>
    <w:rsid w:val="00AA1D8D"/>
    <w:rsid w:val="00B47730"/>
    <w:rsid w:val="00B95071"/>
    <w:rsid w:val="00C57FC0"/>
    <w:rsid w:val="00CB0664"/>
    <w:rsid w:val="00EC3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29D15D-D930-4DCA-943C-907563E7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2130</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Rogelio Mandamian</cp:lastModifiedBy>
  <cp:revision>8</cp:revision>
  <dcterms:created xsi:type="dcterms:W3CDTF">2013-12-23T23:15:00Z</dcterms:created>
  <dcterms:modified xsi:type="dcterms:W3CDTF">2026-10-07T13:57:00Z</dcterms:modified>
  <cp:category/>
</cp:coreProperties>
</file>