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00"/>
        <w:jc w:val="center"/>
      </w:pPr>
      <w:r>
        <w:rPr>
          <w:rFonts w:ascii="Liberation Sans" w:hAnsi="Liberation Sans"/>
          <w:b/>
          <w:sz w:val="68"/>
        </w:rPr>
        <w:t>VYUHA 2.0</w:t>
      </w:r>
    </w:p>
    <w:p>
      <w:pPr>
        <w:jc w:val="center"/>
      </w:pPr>
      <w:r>
        <w:rPr>
          <w:b/>
          <w:sz w:val="28"/>
        </w:rPr>
        <w:t>AGENCY INTEGRITY LAYER FOR COERCION-DRIVEN DIGITAL PAYMENT FRAUD</w:t>
      </w:r>
    </w:p>
    <w:p>
      <w:pPr>
        <w:jc w:val="center"/>
      </w:pPr>
      <w:r>
        <w:rPr>
          <w:sz w:val="22"/>
        </w:rPr>
        <w:t>30-Page Product Requirements Document (PRD) + Technical Architecture Specification</w:t>
      </w:r>
    </w:p>
    <w:p>
      <w:pPr>
        <w:jc w:val="center"/>
      </w:pPr>
      <w:r>
        <w:drawing>
          <wp:inline xmlns:a="http://schemas.openxmlformats.org/drawingml/2006/main" xmlns:pic="http://schemas.openxmlformats.org/drawingml/2006/picture">
            <wp:extent cx="6048000" cy="3101420"/>
            <wp:docPr id="1" name="Picture 1"/>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6048000" cy="3101420"/>
                    </a:xfrm>
                    <a:prstGeom prst="rect"/>
                  </pic:spPr>
                </pic:pic>
              </a:graphicData>
            </a:graphic>
          </wp:inline>
        </w:drawing>
      </w:r>
    </w:p>
    <w:p>
      <w:pPr>
        <w:pStyle w:val="Caption"/>
        <w:jc w:val="center"/>
      </w:pPr>
      <w:r>
        <w:t>System thesis: local agency sensing + institutional graph intelligence + safety-constrained adaptive intervention.</w:t>
      </w:r>
    </w:p>
    <w:tbl>
      <w:tblPr>
        <w:tblStyle w:val="TableGrid"/>
        <w:tblW w:type="auto" w:w="0"/>
        <w:jc w:val="center"/>
        <w:tblLook w:firstColumn="1" w:firstRow="1" w:lastColumn="0" w:lastRow="0" w:noHBand="0" w:noVBand="1" w:val="04A0"/>
      </w:tblPr>
      <w:tblGrid>
        <w:gridCol w:w="10376"/>
      </w:tblGrid>
      <w:tr>
        <w:trPr>
          <w:cantSplit/>
        </w:trPr>
        <w:tc>
          <w:tcPr>
            <w:tcW w:type="dxa" w:w="10376"/>
            <w:shd w:fill="F2F2F2"/>
            <w:vAlign w:val="center"/>
          </w:tcPr>
          <w:p>
            <w:pPr>
              <w:spacing w:after="20"/>
            </w:pPr>
            <w:r/>
            <w:r>
              <w:rPr>
                <w:rFonts w:ascii="Liberation Sans" w:hAnsi="Liberation Sans"/>
                <w:b/>
                <w:sz w:val="17"/>
              </w:rPr>
              <w:t xml:space="preserve">Category thesis — </w:t>
            </w:r>
            <w:r>
              <w:rPr>
                <w:rFonts w:ascii="Liberation Sans" w:hAnsi="Liberation Sans"/>
                <w:sz w:val="17"/>
              </w:rPr>
              <w:t>Banks can authenticate identity and transaction credentials; Vyuha is designed to estimate whether the authenticated decision is being made under live external coercion. The product objective is to protect user agency without turning the device into a surveillance system.</w:t>
            </w:r>
          </w:p>
        </w:tc>
      </w:tr>
    </w:tbl>
    <w:p>
      <w:pPr>
        <w:pStyle w:val="Tiny"/>
      </w:pPr>
    </w:p>
    <w:tbl>
      <w:tblPr>
        <w:tblStyle w:val="TableGrid"/>
        <w:tblW w:type="auto" w:w="0"/>
        <w:jc w:val="center"/>
        <w:tblLook w:firstColumn="1" w:firstRow="1" w:lastColumn="0" w:lastRow="0" w:noHBand="0" w:noVBand="1" w:val="04A0"/>
      </w:tblPr>
      <w:tblGrid>
        <w:gridCol w:w="5188"/>
        <w:gridCol w:w="5188"/>
      </w:tblGrid>
      <w:tr>
        <w:trPr>
          <w:cantSplit/>
        </w:trPr>
        <w:tc>
          <w:tcPr>
            <w:tcW w:type="dxa" w:w="2268"/>
            <w:shd w:fill="E7E6E6"/>
            <w:vAlign w:val="center"/>
          </w:tcPr>
          <w:p>
            <w:pPr>
              <w:spacing w:after="0" w:line="240" w:lineRule="auto"/>
            </w:pPr>
            <w:r/>
            <w:r>
              <w:rPr>
                <w:rFonts w:ascii="Liberation Sans" w:hAnsi="Liberation Sans"/>
                <w:b/>
                <w:sz w:val="16"/>
              </w:rPr>
              <w:t>Field</w:t>
            </w:r>
          </w:p>
        </w:tc>
        <w:tc>
          <w:tcPr>
            <w:tcW w:type="dxa" w:w="7370"/>
            <w:shd w:fill="E7E6E6"/>
            <w:vAlign w:val="center"/>
          </w:tcPr>
          <w:p>
            <w:pPr>
              <w:spacing w:after="0" w:line="240" w:lineRule="auto"/>
            </w:pPr>
            <w:r/>
            <w:r>
              <w:rPr>
                <w:rFonts w:ascii="Liberation Sans" w:hAnsi="Liberation Sans"/>
                <w:b/>
                <w:sz w:val="16"/>
              </w:rPr>
              <w:t>Value</w:t>
            </w:r>
          </w:p>
        </w:tc>
      </w:tr>
      <w:tr>
        <w:trPr>
          <w:cantSplit/>
        </w:trPr>
        <w:tc>
          <w:tcPr>
            <w:tcW w:type="dxa" w:w="2268"/>
            <w:vAlign w:val="center"/>
          </w:tcPr>
          <w:p>
            <w:pPr>
              <w:spacing w:after="0" w:line="240" w:lineRule="auto"/>
            </w:pPr>
            <w:r/>
            <w:r>
              <w:rPr>
                <w:rFonts w:ascii="Liberation Sans" w:hAnsi="Liberation Sans"/>
                <w:b w:val="0"/>
                <w:sz w:val="16"/>
              </w:rPr>
              <w:t>Competition</w:t>
            </w:r>
          </w:p>
        </w:tc>
        <w:tc>
          <w:tcPr>
            <w:tcW w:type="dxa" w:w="7370"/>
            <w:vAlign w:val="center"/>
          </w:tcPr>
          <w:p>
            <w:pPr>
              <w:spacing w:after="0" w:line="240" w:lineRule="auto"/>
            </w:pPr>
            <w:r/>
            <w:r>
              <w:rPr>
                <w:rFonts w:ascii="Liberation Sans" w:hAnsi="Liberation Sans"/>
                <w:b w:val="0"/>
                <w:sz w:val="16"/>
              </w:rPr>
              <w:t>ByteBuilt 1.0 — AI for Business / Fraud &amp; Risk Detection</w:t>
            </w:r>
          </w:p>
        </w:tc>
      </w:tr>
      <w:tr>
        <w:trPr>
          <w:cantSplit/>
        </w:trPr>
        <w:tc>
          <w:tcPr>
            <w:tcW w:type="dxa" w:w="2268"/>
            <w:vAlign w:val="center"/>
          </w:tcPr>
          <w:p>
            <w:pPr>
              <w:spacing w:after="0" w:line="240" w:lineRule="auto"/>
            </w:pPr>
            <w:r/>
            <w:r>
              <w:rPr>
                <w:rFonts w:ascii="Liberation Sans" w:hAnsi="Liberation Sans"/>
                <w:b w:val="0"/>
                <w:sz w:val="16"/>
              </w:rPr>
              <w:t>Team</w:t>
            </w:r>
          </w:p>
        </w:tc>
        <w:tc>
          <w:tcPr>
            <w:tcW w:type="dxa" w:w="7370"/>
            <w:vAlign w:val="center"/>
          </w:tcPr>
          <w:p>
            <w:pPr>
              <w:spacing w:after="0" w:line="240" w:lineRule="auto"/>
            </w:pPr>
            <w:r/>
            <w:r>
              <w:rPr>
                <w:rFonts w:ascii="Liberation Sans" w:hAnsi="Liberation Sans"/>
                <w:b w:val="0"/>
                <w:sz w:val="16"/>
              </w:rPr>
              <w:t>The Syndicates — 4 members</w:t>
            </w:r>
          </w:p>
        </w:tc>
      </w:tr>
      <w:tr>
        <w:trPr>
          <w:cantSplit/>
        </w:trPr>
        <w:tc>
          <w:tcPr>
            <w:tcW w:type="dxa" w:w="2268"/>
            <w:vAlign w:val="center"/>
          </w:tcPr>
          <w:p>
            <w:pPr>
              <w:spacing w:after="0" w:line="240" w:lineRule="auto"/>
            </w:pPr>
            <w:r/>
            <w:r>
              <w:rPr>
                <w:rFonts w:ascii="Liberation Sans" w:hAnsi="Liberation Sans"/>
                <w:b w:val="0"/>
                <w:sz w:val="16"/>
              </w:rPr>
              <w:t>Document status</w:t>
            </w:r>
          </w:p>
        </w:tc>
        <w:tc>
          <w:tcPr>
            <w:tcW w:type="dxa" w:w="7370"/>
            <w:vAlign w:val="center"/>
          </w:tcPr>
          <w:p>
            <w:pPr>
              <w:spacing w:after="0" w:line="240" w:lineRule="auto"/>
            </w:pPr>
            <w:r/>
            <w:r>
              <w:rPr>
                <w:rFonts w:ascii="Liberation Sans" w:hAnsi="Liberation Sans"/>
                <w:b w:val="0"/>
                <w:sz w:val="16"/>
              </w:rPr>
              <w:t>Design baseline v2.0; proposed targets are not production claims</w:t>
            </w:r>
          </w:p>
        </w:tc>
      </w:tr>
      <w:tr>
        <w:trPr>
          <w:cantSplit/>
        </w:trPr>
        <w:tc>
          <w:tcPr>
            <w:tcW w:type="dxa" w:w="2268"/>
            <w:vAlign w:val="center"/>
          </w:tcPr>
          <w:p>
            <w:pPr>
              <w:spacing w:after="0" w:line="240" w:lineRule="auto"/>
            </w:pPr>
            <w:r/>
            <w:r>
              <w:rPr>
                <w:rFonts w:ascii="Liberation Sans" w:hAnsi="Liberation Sans"/>
                <w:b w:val="0"/>
                <w:sz w:val="16"/>
              </w:rPr>
              <w:t>Primary deployment</w:t>
            </w:r>
          </w:p>
        </w:tc>
        <w:tc>
          <w:tcPr>
            <w:tcW w:type="dxa" w:w="7370"/>
            <w:vAlign w:val="center"/>
          </w:tcPr>
          <w:p>
            <w:pPr>
              <w:spacing w:after="0" w:line="240" w:lineRule="auto"/>
            </w:pPr>
            <w:r/>
            <w:r>
              <w:rPr>
                <w:rFonts w:ascii="Liberation Sans" w:hAnsi="Liberation Sans"/>
                <w:b w:val="0"/>
                <w:sz w:val="16"/>
              </w:rPr>
              <w:t>Participating PSP/TPAP/banking application + bank fraud infrastructure</w:t>
            </w:r>
          </w:p>
        </w:tc>
      </w:tr>
      <w:tr>
        <w:trPr>
          <w:cantSplit/>
        </w:trPr>
        <w:tc>
          <w:tcPr>
            <w:tcW w:type="dxa" w:w="2268"/>
            <w:vAlign w:val="center"/>
          </w:tcPr>
          <w:p>
            <w:pPr>
              <w:spacing w:after="0" w:line="240" w:lineRule="auto"/>
            </w:pPr>
            <w:r/>
            <w:r>
              <w:rPr>
                <w:rFonts w:ascii="Liberation Sans" w:hAnsi="Liberation Sans"/>
                <w:b w:val="0"/>
                <w:sz w:val="16"/>
              </w:rPr>
              <w:t>Architecture posture</w:t>
            </w:r>
          </w:p>
        </w:tc>
        <w:tc>
          <w:tcPr>
            <w:tcW w:type="dxa" w:w="7370"/>
            <w:vAlign w:val="center"/>
          </w:tcPr>
          <w:p>
            <w:pPr>
              <w:spacing w:after="0" w:line="240" w:lineRule="auto"/>
            </w:pPr>
            <w:r/>
            <w:r>
              <w:rPr>
                <w:rFonts w:ascii="Liberation Sans" w:hAnsi="Liberation Sans"/>
                <w:b w:val="0"/>
                <w:sz w:val="16"/>
              </w:rPr>
              <w:t>Offline-first edge inference; online institutional graph augmentation; privacy-by-design</w:t>
            </w:r>
          </w:p>
        </w:tc>
      </w:tr>
      <w:tr>
        <w:trPr>
          <w:cantSplit/>
        </w:trPr>
        <w:tc>
          <w:tcPr>
            <w:tcW w:type="dxa" w:w="2268"/>
            <w:vAlign w:val="center"/>
          </w:tcPr>
          <w:p>
            <w:pPr>
              <w:spacing w:after="0" w:line="240" w:lineRule="auto"/>
            </w:pPr>
            <w:r/>
            <w:r>
              <w:rPr>
                <w:rFonts w:ascii="Liberation Sans" w:hAnsi="Liberation Sans"/>
                <w:b w:val="0"/>
                <w:sz w:val="16"/>
              </w:rPr>
              <w:t>Core deep-tech</w:t>
            </w:r>
          </w:p>
        </w:tc>
        <w:tc>
          <w:tcPr>
            <w:tcW w:type="dxa" w:w="7370"/>
            <w:vAlign w:val="center"/>
          </w:tcPr>
          <w:p>
            <w:pPr>
              <w:spacing w:after="0" w:line="240" w:lineRule="auto"/>
            </w:pPr>
            <w:r/>
            <w:r>
              <w:rPr>
                <w:rFonts w:ascii="Liberation Sans" w:hAnsi="Liberation Sans"/>
                <w:b w:val="0"/>
                <w:sz w:val="16"/>
              </w:rPr>
              <w:t>Sparse Risk-MoE, temporal heterogeneous GNN, belief-state inference, conformal uncertainty, conservative contextual bandit, multi-agent digital twin</w:t>
            </w:r>
          </w:p>
        </w:tc>
      </w:tr>
    </w:tbl>
    <w:p>
      <w:pPr>
        <w:pStyle w:val="Tiny"/>
      </w:pPr>
    </w:p>
    <w:p>
      <w:pPr>
        <w:pStyle w:val="Small"/>
        <w:jc w:val="center"/>
      </w:pPr>
      <w:r>
        <w:t>Prepared for implementation planning, hackathon execution, technical due diligence, mentor review and jury Q&amp;A. This document deliberately separates evidence-backed platform capabilities from proposed Vyuha targets and hypotheses.</w:t>
      </w:r>
    </w:p>
    <w:p>
      <w:r>
        <w:br w:type="page"/>
      </w:r>
    </w:p>
    <w:p>
      <w:pPr>
        <w:spacing w:after="0"/>
      </w:pPr>
      <w:r>
        <w:rPr>
          <w:b/>
          <w:sz w:val="15"/>
        </w:rPr>
        <w:t>DOCUMENT GOVERNANCE</w:t>
      </w:r>
    </w:p>
    <w:p>
      <w:pPr>
        <w:pStyle w:val="Heading1"/>
      </w:pPr>
      <w:r>
        <w:t>PRD Control, Evidence Semantics and Decision Principles</w:t>
      </w:r>
    </w:p>
    <w:p>
      <w:r>
        <w:t>This PRD is a controlled engineering specification rather than a marketing deck. The submitted concept describes Vyuha as an on-device Edge-AI behavioral defense SDK using a sub-50 ms MoE triage, an ST-GNN, a contextual bandit and a trusted-node intervention. The present specification preserves that deep-tech intent while correcting deployment assumptions, moving institution-scale graph learning to the institutional plane, removing unsupported zero-false-positive/zero-battery/compliance guarantees, and defining measurable acceptance criteria.</w:t>
      </w:r>
    </w:p>
    <w:tbl>
      <w:tblPr>
        <w:tblStyle w:val="TableGrid"/>
        <w:tblW w:type="auto" w:w="0"/>
        <w:jc w:val="center"/>
        <w:tblLook w:firstColumn="1" w:firstRow="1" w:lastColumn="0" w:lastRow="0" w:noHBand="0" w:noVBand="1" w:val="04A0"/>
      </w:tblPr>
      <w:tblGrid>
        <w:gridCol w:w="3459"/>
        <w:gridCol w:w="3459"/>
        <w:gridCol w:w="3459"/>
      </w:tblGrid>
      <w:tr>
        <w:trPr>
          <w:cantSplit/>
        </w:trPr>
        <w:tc>
          <w:tcPr>
            <w:tcW w:type="dxa" w:w="1134"/>
            <w:shd w:fill="E7E6E6"/>
            <w:vAlign w:val="center"/>
          </w:tcPr>
          <w:p>
            <w:pPr>
              <w:spacing w:after="0" w:line="240" w:lineRule="auto"/>
            </w:pPr>
            <w:r/>
            <w:r>
              <w:rPr>
                <w:rFonts w:ascii="Liberation Sans" w:hAnsi="Liberation Sans"/>
                <w:b/>
                <w:sz w:val="15"/>
              </w:rPr>
              <w:t>Tag</w:t>
            </w:r>
          </w:p>
        </w:tc>
        <w:tc>
          <w:tcPr>
            <w:tcW w:type="dxa" w:w="2268"/>
            <w:shd w:fill="E7E6E6"/>
            <w:vAlign w:val="center"/>
          </w:tcPr>
          <w:p>
            <w:pPr>
              <w:spacing w:after="0" w:line="240" w:lineRule="auto"/>
            </w:pPr>
            <w:r/>
            <w:r>
              <w:rPr>
                <w:rFonts w:ascii="Liberation Sans" w:hAnsi="Liberation Sans"/>
                <w:b/>
                <w:sz w:val="15"/>
              </w:rPr>
              <w:t>Meaning</w:t>
            </w:r>
          </w:p>
        </w:tc>
        <w:tc>
          <w:tcPr>
            <w:tcW w:type="dxa" w:w="6236"/>
            <w:shd w:fill="E7E6E6"/>
            <w:vAlign w:val="center"/>
          </w:tcPr>
          <w:p>
            <w:pPr>
              <w:spacing w:after="0" w:line="240" w:lineRule="auto"/>
            </w:pPr>
            <w:r/>
            <w:r>
              <w:rPr>
                <w:rFonts w:ascii="Liberation Sans" w:hAnsi="Liberation Sans"/>
                <w:b/>
                <w:sz w:val="15"/>
              </w:rPr>
              <w:t>How to read it</w:t>
            </w:r>
          </w:p>
        </w:tc>
      </w:tr>
      <w:tr>
        <w:trPr>
          <w:cantSplit/>
        </w:trPr>
        <w:tc>
          <w:tcPr>
            <w:tcW w:type="dxa" w:w="1134"/>
            <w:vAlign w:val="center"/>
          </w:tcPr>
          <w:p>
            <w:pPr>
              <w:spacing w:after="0" w:line="240" w:lineRule="auto"/>
            </w:pPr>
            <w:r/>
            <w:r>
              <w:rPr>
                <w:rFonts w:ascii="Liberation Sans" w:hAnsi="Liberation Sans"/>
                <w:b w:val="0"/>
                <w:sz w:val="15"/>
              </w:rPr>
              <w:t>[SRC]</w:t>
            </w:r>
          </w:p>
        </w:tc>
        <w:tc>
          <w:tcPr>
            <w:tcW w:type="dxa" w:w="2268"/>
            <w:vAlign w:val="center"/>
          </w:tcPr>
          <w:p>
            <w:pPr>
              <w:spacing w:after="0" w:line="240" w:lineRule="auto"/>
            </w:pPr>
            <w:r/>
            <w:r>
              <w:rPr>
                <w:rFonts w:ascii="Liberation Sans" w:hAnsi="Liberation Sans"/>
                <w:b w:val="0"/>
                <w:sz w:val="15"/>
              </w:rPr>
              <w:t>Source-derived</w:t>
            </w:r>
          </w:p>
        </w:tc>
        <w:tc>
          <w:tcPr>
            <w:tcW w:type="dxa" w:w="6236"/>
            <w:vAlign w:val="center"/>
          </w:tcPr>
          <w:p>
            <w:pPr>
              <w:spacing w:after="0" w:line="240" w:lineRule="auto"/>
            </w:pPr>
            <w:r/>
            <w:r>
              <w:rPr>
                <w:rFonts w:ascii="Liberation Sans" w:hAnsi="Liberation Sans"/>
                <w:b w:val="0"/>
                <w:sz w:val="15"/>
              </w:rPr>
              <w:t>Directly grounded in the ByteBuilt rulebook, current Vyuha deck, legacy deck or submitted script.</w:t>
            </w:r>
          </w:p>
        </w:tc>
      </w:tr>
      <w:tr>
        <w:trPr>
          <w:cantSplit/>
        </w:trPr>
        <w:tc>
          <w:tcPr>
            <w:tcW w:type="dxa" w:w="1134"/>
            <w:vAlign w:val="center"/>
          </w:tcPr>
          <w:p>
            <w:pPr>
              <w:spacing w:after="0" w:line="240" w:lineRule="auto"/>
            </w:pPr>
            <w:r/>
            <w:r>
              <w:rPr>
                <w:rFonts w:ascii="Liberation Sans" w:hAnsi="Liberation Sans"/>
                <w:b w:val="0"/>
                <w:sz w:val="15"/>
              </w:rPr>
              <w:t>[EXT]</w:t>
            </w:r>
          </w:p>
        </w:tc>
        <w:tc>
          <w:tcPr>
            <w:tcW w:type="dxa" w:w="2268"/>
            <w:vAlign w:val="center"/>
          </w:tcPr>
          <w:p>
            <w:pPr>
              <w:spacing w:after="0" w:line="240" w:lineRule="auto"/>
            </w:pPr>
            <w:r/>
            <w:r>
              <w:rPr>
                <w:rFonts w:ascii="Liberation Sans" w:hAnsi="Liberation Sans"/>
                <w:b w:val="0"/>
                <w:sz w:val="15"/>
              </w:rPr>
              <w:t>Externally verified</w:t>
            </w:r>
          </w:p>
        </w:tc>
        <w:tc>
          <w:tcPr>
            <w:tcW w:type="dxa" w:w="6236"/>
            <w:vAlign w:val="center"/>
          </w:tcPr>
          <w:p>
            <w:pPr>
              <w:spacing w:after="0" w:line="240" w:lineRule="auto"/>
            </w:pPr>
            <w:r/>
            <w:r>
              <w:rPr>
                <w:rFonts w:ascii="Liberation Sans" w:hAnsi="Liberation Sans"/>
                <w:b w:val="0"/>
                <w:sz w:val="15"/>
              </w:rPr>
              <w:t>Supported by official platform/regulatory documentation or published research listed in References.</w:t>
            </w:r>
          </w:p>
        </w:tc>
      </w:tr>
      <w:tr>
        <w:trPr>
          <w:cantSplit/>
        </w:trPr>
        <w:tc>
          <w:tcPr>
            <w:tcW w:type="dxa" w:w="1134"/>
            <w:vAlign w:val="center"/>
          </w:tcPr>
          <w:p>
            <w:pPr>
              <w:spacing w:after="0" w:line="240" w:lineRule="auto"/>
            </w:pPr>
            <w:r/>
            <w:r>
              <w:rPr>
                <w:rFonts w:ascii="Liberation Sans" w:hAnsi="Liberation Sans"/>
                <w:b w:val="0"/>
                <w:sz w:val="15"/>
              </w:rPr>
              <w:t>[REQ]</w:t>
            </w:r>
          </w:p>
        </w:tc>
        <w:tc>
          <w:tcPr>
            <w:tcW w:type="dxa" w:w="2268"/>
            <w:vAlign w:val="center"/>
          </w:tcPr>
          <w:p>
            <w:pPr>
              <w:spacing w:after="0" w:line="240" w:lineRule="auto"/>
            </w:pPr>
            <w:r/>
            <w:r>
              <w:rPr>
                <w:rFonts w:ascii="Liberation Sans" w:hAnsi="Liberation Sans"/>
                <w:b w:val="0"/>
                <w:sz w:val="15"/>
              </w:rPr>
              <w:t>Product requirement</w:t>
            </w:r>
          </w:p>
        </w:tc>
        <w:tc>
          <w:tcPr>
            <w:tcW w:type="dxa" w:w="6236"/>
            <w:vAlign w:val="center"/>
          </w:tcPr>
          <w:p>
            <w:pPr>
              <w:spacing w:after="0" w:line="240" w:lineRule="auto"/>
            </w:pPr>
            <w:r/>
            <w:r>
              <w:rPr>
                <w:rFonts w:ascii="Liberation Sans" w:hAnsi="Liberation Sans"/>
                <w:b w:val="0"/>
                <w:sz w:val="15"/>
              </w:rPr>
              <w:t>Normative behavior Vyuha shall implement.</w:t>
            </w:r>
          </w:p>
        </w:tc>
      </w:tr>
      <w:tr>
        <w:trPr>
          <w:cantSplit/>
        </w:trPr>
        <w:tc>
          <w:tcPr>
            <w:tcW w:type="dxa" w:w="1134"/>
            <w:vAlign w:val="center"/>
          </w:tcPr>
          <w:p>
            <w:pPr>
              <w:spacing w:after="0" w:line="240" w:lineRule="auto"/>
            </w:pPr>
            <w:r/>
            <w:r>
              <w:rPr>
                <w:rFonts w:ascii="Liberation Sans" w:hAnsi="Liberation Sans"/>
                <w:b w:val="0"/>
                <w:sz w:val="15"/>
              </w:rPr>
              <w:t>[TARGET]</w:t>
            </w:r>
          </w:p>
        </w:tc>
        <w:tc>
          <w:tcPr>
            <w:tcW w:type="dxa" w:w="2268"/>
            <w:vAlign w:val="center"/>
          </w:tcPr>
          <w:p>
            <w:pPr>
              <w:spacing w:after="0" w:line="240" w:lineRule="auto"/>
            </w:pPr>
            <w:r/>
            <w:r>
              <w:rPr>
                <w:rFonts w:ascii="Liberation Sans" w:hAnsi="Liberation Sans"/>
                <w:b w:val="0"/>
                <w:sz w:val="15"/>
              </w:rPr>
              <w:t>Engineering target</w:t>
            </w:r>
          </w:p>
        </w:tc>
        <w:tc>
          <w:tcPr>
            <w:tcW w:type="dxa" w:w="6236"/>
            <w:vAlign w:val="center"/>
          </w:tcPr>
          <w:p>
            <w:pPr>
              <w:spacing w:after="0" w:line="240" w:lineRule="auto"/>
            </w:pPr>
            <w:r/>
            <w:r>
              <w:rPr>
                <w:rFonts w:ascii="Liberation Sans" w:hAnsi="Liberation Sans"/>
                <w:b w:val="0"/>
                <w:sz w:val="15"/>
              </w:rPr>
              <w:t>A benchmark goal to be measured; not a current achievement.</w:t>
            </w:r>
          </w:p>
        </w:tc>
      </w:tr>
      <w:tr>
        <w:trPr>
          <w:cantSplit/>
        </w:trPr>
        <w:tc>
          <w:tcPr>
            <w:tcW w:type="dxa" w:w="1134"/>
            <w:vAlign w:val="center"/>
          </w:tcPr>
          <w:p>
            <w:pPr>
              <w:spacing w:after="0" w:line="240" w:lineRule="auto"/>
            </w:pPr>
            <w:r/>
            <w:r>
              <w:rPr>
                <w:rFonts w:ascii="Liberation Sans" w:hAnsi="Liberation Sans"/>
                <w:b w:val="0"/>
                <w:sz w:val="15"/>
              </w:rPr>
              <w:t>[HYP]</w:t>
            </w:r>
          </w:p>
        </w:tc>
        <w:tc>
          <w:tcPr>
            <w:tcW w:type="dxa" w:w="2268"/>
            <w:vAlign w:val="center"/>
          </w:tcPr>
          <w:p>
            <w:pPr>
              <w:spacing w:after="0" w:line="240" w:lineRule="auto"/>
            </w:pPr>
            <w:r/>
            <w:r>
              <w:rPr>
                <w:rFonts w:ascii="Liberation Sans" w:hAnsi="Liberation Sans"/>
                <w:b w:val="0"/>
                <w:sz w:val="15"/>
              </w:rPr>
              <w:t>Research hypothesis</w:t>
            </w:r>
          </w:p>
        </w:tc>
        <w:tc>
          <w:tcPr>
            <w:tcW w:type="dxa" w:w="6236"/>
            <w:vAlign w:val="center"/>
          </w:tcPr>
          <w:p>
            <w:pPr>
              <w:spacing w:after="0" w:line="240" w:lineRule="auto"/>
            </w:pPr>
            <w:r/>
            <w:r>
              <w:rPr>
                <w:rFonts w:ascii="Liberation Sans" w:hAnsi="Liberation Sans"/>
                <w:b w:val="0"/>
                <w:sz w:val="15"/>
              </w:rPr>
              <w:t>Technically plausible design requiring experiment before product claim.</w:t>
            </w:r>
          </w:p>
        </w:tc>
      </w:tr>
    </w:tbl>
    <w:p>
      <w:pPr>
        <w:pStyle w:val="Tiny"/>
      </w:pPr>
    </w:p>
    <w:tbl>
      <w:tblPr>
        <w:tblStyle w:val="TableGrid"/>
        <w:tblW w:type="auto" w:w="0"/>
        <w:jc w:val="center"/>
        <w:tblLook w:firstColumn="1" w:firstRow="1" w:lastColumn="0" w:lastRow="0" w:noHBand="0" w:noVBand="1" w:val="04A0"/>
      </w:tblPr>
      <w:tblGrid>
        <w:gridCol w:w="5188"/>
        <w:gridCol w:w="5188"/>
      </w:tblGrid>
      <w:tr>
        <w:trPr>
          <w:cantSplit/>
        </w:trPr>
        <w:tc>
          <w:tcPr>
            <w:tcW w:type="dxa" w:w="1814"/>
            <w:shd w:fill="E7E6E6"/>
            <w:vAlign w:val="center"/>
          </w:tcPr>
          <w:p>
            <w:pPr>
              <w:spacing w:after="0" w:line="240" w:lineRule="auto"/>
            </w:pPr>
            <w:r/>
            <w:r>
              <w:rPr>
                <w:rFonts w:ascii="Liberation Sans" w:hAnsi="Liberation Sans"/>
                <w:b/>
                <w:sz w:val="14"/>
              </w:rPr>
              <w:t>Page map</w:t>
            </w:r>
          </w:p>
        </w:tc>
        <w:tc>
          <w:tcPr>
            <w:tcW w:type="dxa" w:w="7937"/>
            <w:shd w:fill="E7E6E6"/>
            <w:vAlign w:val="center"/>
          </w:tcPr>
          <w:p>
            <w:pPr>
              <w:spacing w:after="0" w:line="240" w:lineRule="auto"/>
            </w:pPr>
            <w:r/>
            <w:r>
              <w:rPr>
                <w:rFonts w:ascii="Liberation Sans" w:hAnsi="Liberation Sans"/>
                <w:b/>
                <w:sz w:val="14"/>
              </w:rPr>
              <w:t>Coverage</w:t>
            </w:r>
          </w:p>
        </w:tc>
      </w:tr>
      <w:tr>
        <w:trPr>
          <w:cantSplit/>
        </w:trPr>
        <w:tc>
          <w:tcPr>
            <w:tcW w:type="dxa" w:w="1814"/>
            <w:vAlign w:val="center"/>
          </w:tcPr>
          <w:p>
            <w:pPr>
              <w:spacing w:after="0" w:line="240" w:lineRule="auto"/>
            </w:pPr>
            <w:r/>
            <w:r>
              <w:rPr>
                <w:rFonts w:ascii="Liberation Sans" w:hAnsi="Liberation Sans"/>
                <w:b w:val="0"/>
                <w:sz w:val="14"/>
              </w:rPr>
              <w:t>1–4</w:t>
            </w:r>
          </w:p>
        </w:tc>
        <w:tc>
          <w:tcPr>
            <w:tcW w:type="dxa" w:w="7937"/>
            <w:vAlign w:val="center"/>
          </w:tcPr>
          <w:p>
            <w:pPr>
              <w:spacing w:after="0" w:line="240" w:lineRule="auto"/>
            </w:pPr>
            <w:r/>
            <w:r>
              <w:rPr>
                <w:rFonts w:ascii="Liberation Sans" w:hAnsi="Liberation Sans"/>
                <w:b w:val="0"/>
                <w:sz w:val="14"/>
              </w:rPr>
              <w:t>Product thesis, evidence semantics, problem and threat model</w:t>
            </w:r>
          </w:p>
        </w:tc>
      </w:tr>
      <w:tr>
        <w:trPr>
          <w:cantSplit/>
        </w:trPr>
        <w:tc>
          <w:tcPr>
            <w:tcW w:type="dxa" w:w="1814"/>
            <w:vAlign w:val="center"/>
          </w:tcPr>
          <w:p>
            <w:pPr>
              <w:spacing w:after="0" w:line="240" w:lineRule="auto"/>
            </w:pPr>
            <w:r/>
            <w:r>
              <w:rPr>
                <w:rFonts w:ascii="Liberation Sans" w:hAnsi="Liberation Sans"/>
                <w:b w:val="0"/>
                <w:sz w:val="14"/>
              </w:rPr>
              <w:t>5–10</w:t>
            </w:r>
          </w:p>
        </w:tc>
        <w:tc>
          <w:tcPr>
            <w:tcW w:type="dxa" w:w="7937"/>
            <w:vAlign w:val="center"/>
          </w:tcPr>
          <w:p>
            <w:pPr>
              <w:spacing w:after="0" w:line="240" w:lineRule="auto"/>
            </w:pPr>
            <w:r/>
            <w:r>
              <w:rPr>
                <w:rFonts w:ascii="Liberation Sans" w:hAnsi="Liberation Sans"/>
                <w:b w:val="0"/>
                <w:sz w:val="14"/>
              </w:rPr>
              <w:t>Requirements, users, flows, architecture, offline mode, signals</w:t>
            </w:r>
          </w:p>
        </w:tc>
      </w:tr>
      <w:tr>
        <w:trPr>
          <w:cantSplit/>
        </w:trPr>
        <w:tc>
          <w:tcPr>
            <w:tcW w:type="dxa" w:w="1814"/>
            <w:vAlign w:val="center"/>
          </w:tcPr>
          <w:p>
            <w:pPr>
              <w:spacing w:after="0" w:line="240" w:lineRule="auto"/>
            </w:pPr>
            <w:r/>
            <w:r>
              <w:rPr>
                <w:rFonts w:ascii="Liberation Sans" w:hAnsi="Liberation Sans"/>
                <w:b w:val="0"/>
                <w:sz w:val="14"/>
              </w:rPr>
              <w:t>11–18</w:t>
            </w:r>
          </w:p>
        </w:tc>
        <w:tc>
          <w:tcPr>
            <w:tcW w:type="dxa" w:w="7937"/>
            <w:vAlign w:val="center"/>
          </w:tcPr>
          <w:p>
            <w:pPr>
              <w:spacing w:after="0" w:line="240" w:lineRule="auto"/>
            </w:pPr>
            <w:r/>
            <w:r>
              <w:rPr>
                <w:rFonts w:ascii="Liberation Sans" w:hAnsi="Liberation Sans"/>
                <w:b w:val="0"/>
                <w:sz w:val="14"/>
              </w:rPr>
              <w:t>Risk-MoE, belief state, heterogeneous ST-GNN, uncertainty, RL, agentic systems</w:t>
            </w:r>
          </w:p>
        </w:tc>
      </w:tr>
      <w:tr>
        <w:trPr>
          <w:cantSplit/>
        </w:trPr>
        <w:tc>
          <w:tcPr>
            <w:tcW w:type="dxa" w:w="1814"/>
            <w:vAlign w:val="center"/>
          </w:tcPr>
          <w:p>
            <w:pPr>
              <w:spacing w:after="0" w:line="240" w:lineRule="auto"/>
            </w:pPr>
            <w:r/>
            <w:r>
              <w:rPr>
                <w:rFonts w:ascii="Liberation Sans" w:hAnsi="Liberation Sans"/>
                <w:b w:val="0"/>
                <w:sz w:val="14"/>
              </w:rPr>
              <w:t>19–24</w:t>
            </w:r>
          </w:p>
        </w:tc>
        <w:tc>
          <w:tcPr>
            <w:tcW w:type="dxa" w:w="7937"/>
            <w:vAlign w:val="center"/>
          </w:tcPr>
          <w:p>
            <w:pPr>
              <w:spacing w:after="0" w:line="240" w:lineRule="auto"/>
            </w:pPr>
            <w:r/>
            <w:r>
              <w:rPr>
                <w:rFonts w:ascii="Liberation Sans" w:hAnsi="Liberation Sans"/>
                <w:b w:val="0"/>
                <w:sz w:val="14"/>
              </w:rPr>
              <w:t>Interventions, Safety Circle, SDK/service interfaces, privacy, security</w:t>
            </w:r>
          </w:p>
        </w:tc>
      </w:tr>
      <w:tr>
        <w:trPr>
          <w:cantSplit/>
        </w:trPr>
        <w:tc>
          <w:tcPr>
            <w:tcW w:type="dxa" w:w="1814"/>
            <w:vAlign w:val="center"/>
          </w:tcPr>
          <w:p>
            <w:pPr>
              <w:spacing w:after="0" w:line="240" w:lineRule="auto"/>
            </w:pPr>
            <w:r/>
            <w:r>
              <w:rPr>
                <w:rFonts w:ascii="Liberation Sans" w:hAnsi="Liberation Sans"/>
                <w:b w:val="0"/>
                <w:sz w:val="14"/>
              </w:rPr>
              <w:t>25–30</w:t>
            </w:r>
          </w:p>
        </w:tc>
        <w:tc>
          <w:tcPr>
            <w:tcW w:type="dxa" w:w="7937"/>
            <w:vAlign w:val="center"/>
          </w:tcPr>
          <w:p>
            <w:pPr>
              <w:spacing w:after="0" w:line="240" w:lineRule="auto"/>
            </w:pPr>
            <w:r/>
            <w:r>
              <w:rPr>
                <w:rFonts w:ascii="Liberation Sans" w:hAnsi="Liberation Sans"/>
                <w:b w:val="0"/>
                <w:sz w:val="14"/>
              </w:rPr>
              <w:t>ML lifecycle, evaluation, observability, hackathon plan, roadmap, references</w:t>
            </w:r>
          </w:p>
        </w:tc>
      </w:tr>
    </w:tbl>
    <w:p>
      <w:pPr>
        <w:pStyle w:val="Tiny"/>
      </w:pPr>
    </w:p>
    <w:p>
      <w:pPr>
        <w:pStyle w:val="Heading2"/>
      </w:pPr>
      <w:r>
        <w:t>Design principles</w:t>
      </w:r>
    </w:p>
    <w:p>
      <w:pPr>
        <w:ind w:left="215" w:hanging="125"/>
      </w:pPr>
      <w:r>
        <w:rPr>
          <w:b/>
        </w:rPr>
        <w:t xml:space="preserve">• </w:t>
      </w:r>
      <w:r>
        <w:t>Agency before anomaly: the system protects the quality of the user decision, not merely whether a transaction looks statistically unusual.</w:t>
      </w:r>
    </w:p>
    <w:p>
      <w:pPr>
        <w:ind w:left="215" w:hanging="125"/>
      </w:pPr>
      <w:r>
        <w:rPr>
          <w:b/>
        </w:rPr>
        <w:t xml:space="preserve">• </w:t>
      </w:r>
      <w:r>
        <w:t>Local first: sensitive context is interpreted on-device whenever possible. The core edge decision must continue without a cloud inference dependency.</w:t>
      </w:r>
    </w:p>
    <w:p>
      <w:pPr>
        <w:ind w:left="215" w:hanging="125"/>
      </w:pPr>
      <w:r>
        <w:rPr>
          <w:b/>
        </w:rPr>
        <w:t xml:space="preserve">• </w:t>
      </w:r>
      <w:r>
        <w:t>Graph intelligence where graph data exists: mule-ring inference belongs inside participating financial institutions or authorised fraud-intelligence infrastructure, not on an isolated handset.</w:t>
      </w:r>
    </w:p>
    <w:p>
      <w:pPr>
        <w:ind w:left="215" w:hanging="125"/>
      </w:pPr>
      <w:r>
        <w:rPr>
          <w:b/>
        </w:rPr>
        <w:t xml:space="preserve">• </w:t>
      </w:r>
      <w:r>
        <w:t>Friction is a sensor: interventions are chosen not only to warn but to obtain safe information and deliberately break the scammer’s synchronous control loop.</w:t>
      </w:r>
    </w:p>
    <w:p>
      <w:pPr>
        <w:ind w:left="215" w:hanging="125"/>
      </w:pPr>
      <w:r>
        <w:rPr>
          <w:b/>
        </w:rPr>
        <w:t xml:space="preserve">• </w:t>
      </w:r>
      <w:r>
        <w:t>Uncertainty is a first-class output: when evidence is weak or out-of-distribution, the system should abstain from aggressive action and choose proportionate friction.</w:t>
      </w:r>
    </w:p>
    <w:p>
      <w:pPr>
        <w:ind w:left="215" w:hanging="125"/>
      </w:pPr>
      <w:r>
        <w:rPr>
          <w:b/>
        </w:rPr>
        <w:t xml:space="preserve">• </w:t>
      </w:r>
      <w:r>
        <w:t>No magic integration claims: the production path assumes consented integration inside a participating UPI/PSP/bank application and bank-side risk services; a generic payment gateway cannot control every UPI authorization flow.</w:t>
      </w:r>
    </w:p>
    <w:p>
      <w:pPr>
        <w:ind w:left="215" w:hanging="125"/>
      </w:pPr>
      <w:r>
        <w:rPr>
          <w:b/>
        </w:rPr>
        <w:t xml:space="preserve">• </w:t>
      </w:r>
      <w:r>
        <w:t>Research claims become product claims only after an evaluation gate defined in this PRD.</w:t>
      </w:r>
    </w:p>
    <w:tbl>
      <w:tblPr>
        <w:tblStyle w:val="TableGrid"/>
        <w:tblW w:type="auto" w:w="0"/>
        <w:jc w:val="center"/>
        <w:tblLook w:firstColumn="1" w:firstRow="1" w:lastColumn="0" w:lastRow="0" w:noHBand="0" w:noVBand="1" w:val="04A0"/>
      </w:tblPr>
      <w:tblGrid>
        <w:gridCol w:w="10376"/>
      </w:tblGrid>
      <w:tr>
        <w:trPr>
          <w:cantSplit/>
        </w:trPr>
        <w:tc>
          <w:tcPr>
            <w:tcW w:type="dxa" w:w="10376"/>
            <w:shd w:fill="F2F2F2"/>
            <w:vAlign w:val="center"/>
          </w:tcPr>
          <w:p>
            <w:pPr>
              <w:spacing w:after="20"/>
            </w:pPr>
            <w:r/>
            <w:r>
              <w:rPr>
                <w:rFonts w:ascii="Liberation Sans" w:hAnsi="Liberation Sans"/>
                <w:b/>
                <w:sz w:val="17"/>
              </w:rPr>
              <w:t xml:space="preserve">Competition fit — </w:t>
            </w:r>
            <w:r>
              <w:rPr>
                <w:rFonts w:ascii="Liberation Sans" w:hAnsi="Liberation Sans"/>
                <w:sz w:val="17"/>
              </w:rPr>
              <w:t>ByteBuilt evaluates innovation and impact at 25 marks each, feasibility and prototype quality at 20 each, and presentation/Q&amp;A at 10. The architecture therefore optimizes for a technically defensible vertical slice that can be demonstrated in the 24-hour finale, not for breadth without evidence. [SRC]</w:t>
            </w:r>
          </w:p>
        </w:tc>
      </w:tr>
    </w:tbl>
    <w:p>
      <w:pPr>
        <w:pStyle w:val="Tiny"/>
      </w:pPr>
    </w:p>
    <w:p>
      <w:r>
        <w:br w:type="page"/>
      </w:r>
    </w:p>
    <w:p>
      <w:pPr>
        <w:spacing w:after="0"/>
      </w:pPr>
      <w:r>
        <w:rPr>
          <w:b/>
          <w:sz w:val="15"/>
        </w:rPr>
        <w:t>PRODUCT DEFINITION</w:t>
      </w:r>
    </w:p>
    <w:p>
      <w:pPr>
        <w:pStyle w:val="Heading1"/>
      </w:pPr>
      <w:r>
        <w:t>Executive Product Thesis and Success Narrative</w:t>
      </w:r>
    </w:p>
    <w:p>
      <w:r>
        <w:t>Vyuha is an Agency Integrity Layer embedded in a participating UPI/PSP/banking application and connected to institution-side fraud intelligence. It detects the contextual trajectory that precedes coercion-driven authorised payments, estimates a latent “coercion belief state,” and selects the minimum intervention likely to restore independent decision-making before payment authorization. Digital-arrest scams are the flagship demonstration archetype, but the product category is broader: live-guided authorised payment fraud, including impersonation, fake support, remote-access, emergency, investment and other synchronous coercion patterns.</w:t>
      </w:r>
    </w:p>
    <w:tbl>
      <w:tblPr>
        <w:tblStyle w:val="TableGrid"/>
        <w:tblW w:type="auto" w:w="0"/>
        <w:jc w:val="center"/>
        <w:tblLook w:firstColumn="1" w:firstRow="1" w:lastColumn="0" w:lastRow="0" w:noHBand="0" w:noVBand="1" w:val="04A0"/>
      </w:tblPr>
      <w:tblGrid>
        <w:gridCol w:w="10376"/>
      </w:tblGrid>
      <w:tr>
        <w:trPr>
          <w:cantSplit/>
        </w:trPr>
        <w:tc>
          <w:tcPr>
            <w:tcW w:type="dxa" w:w="10376"/>
            <w:shd w:fill="F2F2F2"/>
            <w:vAlign w:val="center"/>
          </w:tcPr>
          <w:p>
            <w:pPr>
              <w:spacing w:after="20"/>
            </w:pPr>
            <w:r/>
            <w:r>
              <w:rPr>
                <w:rFonts w:ascii="Liberation Sans" w:hAnsi="Liberation Sans"/>
                <w:b/>
                <w:sz w:val="17"/>
              </w:rPr>
              <w:t xml:space="preserve">One-line product — </w:t>
            </w:r>
            <w:r>
              <w:rPr>
                <w:rFonts w:ascii="Liberation Sans" w:hAnsi="Liberation Sans"/>
                <w:sz w:val="17"/>
              </w:rPr>
              <w:t>“Authentication protects identity. Vyuha protects intent.”</w:t>
            </w:r>
          </w:p>
        </w:tc>
      </w:tr>
    </w:tbl>
    <w:p>
      <w:pPr>
        <w:pStyle w:val="Tiny"/>
      </w:pPr>
    </w:p>
    <w:p>
      <w:pPr>
        <w:pStyle w:val="Heading2"/>
      </w:pPr>
      <w:r>
        <w:t>Why the product exists</w:t>
      </w:r>
    </w:p>
    <w:p>
      <w:r>
        <w:t>Conventional controls are strongest when the attacker steals credentials, impersonates the user, compromises a device, or creates a structurally suspicious beneficiary. A coercion scam is adversarial in a different way: the legitimate account holder may use the legitimate device, open the legitimate payment application, enter the correct PIN, and intentionally press Pay. The transaction can therefore look authenticated while the human decision has been captured. The submitted script correctly identifies the missing temporal surface: the fraud is often created in the interaction trajectory before the transaction, not in the authorization credential itself. [SRC]</w:t>
      </w:r>
    </w:p>
    <w:p>
      <w:pPr>
        <w:pStyle w:val="Heading2"/>
      </w:pPr>
      <w:r>
        <w:t>North-star outcome</w:t>
      </w:r>
    </w:p>
    <w:p>
      <w:r>
        <w:t>Prevent or materially delay a high-risk coercion-driven payment while adding effectively no perceptible friction to normal low-risk payments. The user must understand why Vyuha intervened, retain a safe path to continue a legitimate transaction, and be able to invoke independent verification without revealing unnecessary private information.</w:t>
      </w:r>
    </w:p>
    <w:tbl>
      <w:tblPr>
        <w:tblStyle w:val="TableGrid"/>
        <w:tblW w:type="auto" w:w="0"/>
        <w:jc w:val="center"/>
        <w:tblLook w:firstColumn="1" w:firstRow="1" w:lastColumn="0" w:lastRow="0" w:noHBand="0" w:noVBand="1" w:val="04A0"/>
      </w:tblPr>
      <w:tblGrid>
        <w:gridCol w:w="5188"/>
        <w:gridCol w:w="5188"/>
      </w:tblGrid>
      <w:tr>
        <w:trPr>
          <w:cantSplit/>
        </w:trPr>
        <w:tc>
          <w:tcPr>
            <w:tcW w:type="dxa" w:w="1928"/>
            <w:shd w:fill="E7E6E6"/>
            <w:vAlign w:val="center"/>
          </w:tcPr>
          <w:p>
            <w:pPr>
              <w:spacing w:after="0" w:line="240" w:lineRule="auto"/>
            </w:pPr>
            <w:r/>
            <w:r>
              <w:rPr>
                <w:rFonts w:ascii="Liberation Sans" w:hAnsi="Liberation Sans"/>
                <w:b/>
                <w:sz w:val="15"/>
              </w:rPr>
              <w:t>Success dimension</w:t>
            </w:r>
          </w:p>
        </w:tc>
        <w:tc>
          <w:tcPr>
            <w:tcW w:type="dxa" w:w="7767"/>
            <w:shd w:fill="E7E6E6"/>
            <w:vAlign w:val="center"/>
          </w:tcPr>
          <w:p>
            <w:pPr>
              <w:spacing w:after="0" w:line="240" w:lineRule="auto"/>
            </w:pPr>
            <w:r/>
            <w:r>
              <w:rPr>
                <w:rFonts w:ascii="Liberation Sans" w:hAnsi="Liberation Sans"/>
                <w:b/>
                <w:sz w:val="15"/>
              </w:rPr>
              <w:t>PRD outcome</w:t>
            </w:r>
          </w:p>
        </w:tc>
      </w:tr>
      <w:tr>
        <w:trPr>
          <w:cantSplit/>
        </w:trPr>
        <w:tc>
          <w:tcPr>
            <w:tcW w:type="dxa" w:w="1928"/>
            <w:vAlign w:val="center"/>
          </w:tcPr>
          <w:p>
            <w:pPr>
              <w:spacing w:after="0" w:line="240" w:lineRule="auto"/>
            </w:pPr>
            <w:r/>
            <w:r>
              <w:rPr>
                <w:rFonts w:ascii="Liberation Sans" w:hAnsi="Liberation Sans"/>
                <w:b w:val="0"/>
                <w:sz w:val="15"/>
              </w:rPr>
              <w:t>User safety</w:t>
            </w:r>
          </w:p>
        </w:tc>
        <w:tc>
          <w:tcPr>
            <w:tcW w:type="dxa" w:w="7767"/>
            <w:vAlign w:val="center"/>
          </w:tcPr>
          <w:p>
            <w:pPr>
              <w:spacing w:after="0" w:line="240" w:lineRule="auto"/>
            </w:pPr>
            <w:r/>
            <w:r>
              <w:rPr>
                <w:rFonts w:ascii="Liberation Sans" w:hAnsi="Liberation Sans"/>
                <w:b w:val="0"/>
                <w:sz w:val="15"/>
              </w:rPr>
              <w:t>High-risk sessions receive context-aware intervention before authorization.</w:t>
            </w:r>
          </w:p>
        </w:tc>
      </w:tr>
      <w:tr>
        <w:trPr>
          <w:cantSplit/>
        </w:trPr>
        <w:tc>
          <w:tcPr>
            <w:tcW w:type="dxa" w:w="1928"/>
            <w:vAlign w:val="center"/>
          </w:tcPr>
          <w:p>
            <w:pPr>
              <w:spacing w:after="0" w:line="240" w:lineRule="auto"/>
            </w:pPr>
            <w:r/>
            <w:r>
              <w:rPr>
                <w:rFonts w:ascii="Liberation Sans" w:hAnsi="Liberation Sans"/>
                <w:b w:val="0"/>
                <w:sz w:val="15"/>
              </w:rPr>
              <w:t>User autonomy</w:t>
            </w:r>
          </w:p>
        </w:tc>
        <w:tc>
          <w:tcPr>
            <w:tcW w:type="dxa" w:w="7767"/>
            <w:vAlign w:val="center"/>
          </w:tcPr>
          <w:p>
            <w:pPr>
              <w:spacing w:after="0" w:line="240" w:lineRule="auto"/>
            </w:pPr>
            <w:r/>
            <w:r>
              <w:rPr>
                <w:rFonts w:ascii="Liberation Sans" w:hAnsi="Liberation Sans"/>
                <w:b w:val="0"/>
                <w:sz w:val="15"/>
              </w:rPr>
              <w:t>No irreversible block is performed by the SDK alone; hard blocks/holds are controlled by the participating institution and policy.</w:t>
            </w:r>
          </w:p>
        </w:tc>
      </w:tr>
      <w:tr>
        <w:trPr>
          <w:cantSplit/>
        </w:trPr>
        <w:tc>
          <w:tcPr>
            <w:tcW w:type="dxa" w:w="1928"/>
            <w:vAlign w:val="center"/>
          </w:tcPr>
          <w:p>
            <w:pPr>
              <w:spacing w:after="0" w:line="240" w:lineRule="auto"/>
            </w:pPr>
            <w:r/>
            <w:r>
              <w:rPr>
                <w:rFonts w:ascii="Liberation Sans" w:hAnsi="Liberation Sans"/>
                <w:b w:val="0"/>
                <w:sz w:val="15"/>
              </w:rPr>
              <w:t>Privacy</w:t>
            </w:r>
          </w:p>
        </w:tc>
        <w:tc>
          <w:tcPr>
            <w:tcW w:type="dxa" w:w="7767"/>
            <w:vAlign w:val="center"/>
          </w:tcPr>
          <w:p>
            <w:pPr>
              <w:spacing w:after="0" w:line="240" w:lineRule="auto"/>
            </w:pPr>
            <w:r/>
            <w:r>
              <w:rPr>
                <w:rFonts w:ascii="Liberation Sans" w:hAnsi="Liberation Sans"/>
                <w:b w:val="0"/>
                <w:sz w:val="15"/>
              </w:rPr>
              <w:t>Core design does not require call audio, speech transcription, screen content, or raw chat content.</w:t>
            </w:r>
          </w:p>
        </w:tc>
      </w:tr>
      <w:tr>
        <w:trPr>
          <w:cantSplit/>
        </w:trPr>
        <w:tc>
          <w:tcPr>
            <w:tcW w:type="dxa" w:w="1928"/>
            <w:vAlign w:val="center"/>
          </w:tcPr>
          <w:p>
            <w:pPr>
              <w:spacing w:after="0" w:line="240" w:lineRule="auto"/>
            </w:pPr>
            <w:r/>
            <w:r>
              <w:rPr>
                <w:rFonts w:ascii="Liberation Sans" w:hAnsi="Liberation Sans"/>
                <w:b w:val="0"/>
                <w:sz w:val="15"/>
              </w:rPr>
              <w:t>Latency</w:t>
            </w:r>
          </w:p>
        </w:tc>
        <w:tc>
          <w:tcPr>
            <w:tcW w:type="dxa" w:w="7767"/>
            <w:vAlign w:val="center"/>
          </w:tcPr>
          <w:p>
            <w:pPr>
              <w:spacing w:after="0" w:line="240" w:lineRule="auto"/>
            </w:pPr>
            <w:r/>
            <w:r>
              <w:rPr>
                <w:rFonts w:ascii="Liberation Sans" w:hAnsi="Liberation Sans"/>
                <w:b w:val="0"/>
                <w:sz w:val="15"/>
              </w:rPr>
              <w:t>Local fast path is designed for sub-50 ms p95 on target Android hardware; measured results required before claim.</w:t>
            </w:r>
          </w:p>
        </w:tc>
      </w:tr>
      <w:tr>
        <w:trPr>
          <w:cantSplit/>
        </w:trPr>
        <w:tc>
          <w:tcPr>
            <w:tcW w:type="dxa" w:w="1928"/>
            <w:vAlign w:val="center"/>
          </w:tcPr>
          <w:p>
            <w:pPr>
              <w:spacing w:after="0" w:line="240" w:lineRule="auto"/>
            </w:pPr>
            <w:r/>
            <w:r>
              <w:rPr>
                <w:rFonts w:ascii="Liberation Sans" w:hAnsi="Liberation Sans"/>
                <w:b w:val="0"/>
                <w:sz w:val="15"/>
              </w:rPr>
              <w:t>Robustness</w:t>
            </w:r>
          </w:p>
        </w:tc>
        <w:tc>
          <w:tcPr>
            <w:tcW w:type="dxa" w:w="7767"/>
            <w:vAlign w:val="center"/>
          </w:tcPr>
          <w:p>
            <w:pPr>
              <w:spacing w:after="0" w:line="240" w:lineRule="auto"/>
            </w:pPr>
            <w:r/>
            <w:r>
              <w:rPr>
                <w:rFonts w:ascii="Liberation Sans" w:hAnsi="Liberation Sans"/>
                <w:b w:val="0"/>
                <w:sz w:val="15"/>
              </w:rPr>
              <w:t>No single signal such as “call &gt;20 minutes” is sufficient to label coercion.</w:t>
            </w:r>
          </w:p>
        </w:tc>
      </w:tr>
      <w:tr>
        <w:trPr>
          <w:cantSplit/>
        </w:trPr>
        <w:tc>
          <w:tcPr>
            <w:tcW w:type="dxa" w:w="1928"/>
            <w:vAlign w:val="center"/>
          </w:tcPr>
          <w:p>
            <w:pPr>
              <w:spacing w:after="0" w:line="240" w:lineRule="auto"/>
            </w:pPr>
            <w:r/>
            <w:r>
              <w:rPr>
                <w:rFonts w:ascii="Liberation Sans" w:hAnsi="Liberation Sans"/>
                <w:b w:val="0"/>
                <w:sz w:val="15"/>
              </w:rPr>
              <w:t>Explainability</w:t>
            </w:r>
          </w:p>
        </w:tc>
        <w:tc>
          <w:tcPr>
            <w:tcW w:type="dxa" w:w="7767"/>
            <w:vAlign w:val="center"/>
          </w:tcPr>
          <w:p>
            <w:pPr>
              <w:spacing w:after="0" w:line="240" w:lineRule="auto"/>
            </w:pPr>
            <w:r/>
            <w:r>
              <w:rPr>
                <w:rFonts w:ascii="Liberation Sans" w:hAnsi="Liberation Sans"/>
                <w:b w:val="0"/>
                <w:sz w:val="15"/>
              </w:rPr>
              <w:t>Every intervention carries a reason code and a human-readable rationale.</w:t>
            </w:r>
          </w:p>
        </w:tc>
      </w:tr>
      <w:tr>
        <w:trPr>
          <w:cantSplit/>
        </w:trPr>
        <w:tc>
          <w:tcPr>
            <w:tcW w:type="dxa" w:w="1928"/>
            <w:vAlign w:val="center"/>
          </w:tcPr>
          <w:p>
            <w:pPr>
              <w:spacing w:after="0" w:line="240" w:lineRule="auto"/>
            </w:pPr>
            <w:r/>
            <w:r>
              <w:rPr>
                <w:rFonts w:ascii="Liberation Sans" w:hAnsi="Liberation Sans"/>
                <w:b w:val="0"/>
                <w:sz w:val="15"/>
              </w:rPr>
              <w:t>Offline continuity</w:t>
            </w:r>
          </w:p>
        </w:tc>
        <w:tc>
          <w:tcPr>
            <w:tcW w:type="dxa" w:w="7767"/>
            <w:vAlign w:val="center"/>
          </w:tcPr>
          <w:p>
            <w:pPr>
              <w:spacing w:after="0" w:line="240" w:lineRule="auto"/>
            </w:pPr>
            <w:r/>
            <w:r>
              <w:rPr>
                <w:rFonts w:ascii="Liberation Sans" w:hAnsi="Liberation Sans"/>
                <w:b w:val="0"/>
                <w:sz w:val="15"/>
              </w:rPr>
              <w:t>Local risk scoring and native interventions remain available if the graph augmentation service is unreachable.</w:t>
            </w:r>
          </w:p>
        </w:tc>
      </w:tr>
    </w:tbl>
    <w:p>
      <w:pPr>
        <w:pStyle w:val="Tiny"/>
      </w:pPr>
    </w:p>
    <w:p>
      <w:r>
        <w:br w:type="page"/>
      </w:r>
    </w:p>
    <w:p>
      <w:pPr>
        <w:spacing w:after="0"/>
      </w:pPr>
      <w:r>
        <w:rPr>
          <w:b/>
          <w:sz w:val="15"/>
        </w:rPr>
        <w:t>PROBLEM SPACE</w:t>
      </w:r>
    </w:p>
    <w:p>
      <w:pPr>
        <w:pStyle w:val="Heading1"/>
      </w:pPr>
      <w:r>
        <w:t>Real-World Threat Model: Coercion-Driven Authorised Fraud</w:t>
      </w:r>
    </w:p>
    <w:p>
      <w:r>
        <w:t>India’s financial cyber-fraud burden is sufficiently large that prevention before fund transfer has clear economic and social value. Government figures reported for 2025 show ₹22,495 crore in reported cyber-fraud losses; CFCFRMS figures separately show 24,02,579 financial-fraud complaints on NCRP for 2025 and more than ₹8,189 crore saved through the reporting/management system by 31 December 2025. The Department of Telecommunications’ Financial Fraud Risk Indicator (FRI), launched in May 2025, had by August 2026 reportedly helped prevent more than ₹5,000 crore of suspected fraud transactions across a growing institutional ecosystem. [EXT; Refs. 14–16] These figures do not prove Vyuha’s efficacy; they demonstrate that upstream cross-ecosystem risk signals can have large preventive value.</w:t>
      </w:r>
    </w:p>
    <w:p>
      <w:pPr>
        <w:pStyle w:val="Heading2"/>
      </w:pPr>
      <w:r>
        <w:t>Threat archetype</w:t>
      </w:r>
    </w:p>
    <w:p>
      <w:pPr>
        <w:ind w:left="215" w:hanging="125"/>
      </w:pPr>
      <w:r>
        <w:rPr>
          <w:b/>
        </w:rPr>
        <w:t xml:space="preserve">• </w:t>
      </w:r>
      <w:r>
        <w:t>Attacker establishes authority, urgency or fear through a call/video/remote-control channel.</w:t>
      </w:r>
    </w:p>
    <w:p>
      <w:pPr>
        <w:ind w:left="215" w:hanging="125"/>
      </w:pPr>
      <w:r>
        <w:rPr>
          <w:b/>
        </w:rPr>
        <w:t xml:space="preserve">• </w:t>
      </w:r>
      <w:r>
        <w:t>Victim is isolated from alternative advice and is instructed to keep the communication channel active.</w:t>
      </w:r>
    </w:p>
    <w:p>
      <w:pPr>
        <w:ind w:left="215" w:hanging="125"/>
      </w:pPr>
      <w:r>
        <w:rPr>
          <w:b/>
        </w:rPr>
        <w:t xml:space="preserve">• </w:t>
      </w:r>
      <w:r>
        <w:t>The attacker gradually obtains compliance without necessarily stealing the victim’s banking credentials.</w:t>
      </w:r>
    </w:p>
    <w:p>
      <w:pPr>
        <w:ind w:left="215" w:hanging="125"/>
      </w:pPr>
      <w:r>
        <w:rPr>
          <w:b/>
        </w:rPr>
        <w:t xml:space="preserve">• </w:t>
      </w:r>
      <w:r>
        <w:t>Victim opens a genuine payment application and begins a transfer to an instructed beneficiary.</w:t>
      </w:r>
    </w:p>
    <w:p>
      <w:pPr>
        <w:ind w:left="215" w:hanging="125"/>
      </w:pPr>
      <w:r>
        <w:rPr>
          <w:b/>
        </w:rPr>
        <w:t xml:space="preserve">• </w:t>
      </w:r>
      <w:r>
        <w:t>The victim may truthfully pass device binding, OTP/PIN and account authentication because the victim is the person authorising the transfer.</w:t>
      </w:r>
    </w:p>
    <w:p>
      <w:pPr>
        <w:ind w:left="215" w:hanging="125"/>
      </w:pPr>
      <w:r>
        <w:rPr>
          <w:b/>
        </w:rPr>
        <w:t xml:space="preserve">• </w:t>
      </w:r>
      <w:r>
        <w:t>After payment, recovery becomes difficult; post-fraud investigation, freezing and chargeback/dispute processes are reactive.</w:t>
      </w:r>
    </w:p>
    <w:p>
      <w:pPr>
        <w:pStyle w:val="Heading2"/>
      </w:pPr>
      <w:r>
        <w:t>Out of scope</w:t>
      </w:r>
    </w:p>
    <w:p>
      <w:r>
        <w:t>Vyuha is not a replacement for AML, transaction monitoring, malware protection, SIM-swap detection, FRI, device attestation, KYC, beneficiary cooling periods, bank authentication, law-enforcement reporting or UPI network controls. It is a complementary payer-side behavioural context and adaptive intervention layer.</w:t>
      </w:r>
    </w:p>
    <w:tbl>
      <w:tblPr>
        <w:tblStyle w:val="TableGrid"/>
        <w:tblW w:type="auto" w:w="0"/>
        <w:jc w:val="center"/>
        <w:tblLook w:firstColumn="1" w:firstRow="1" w:lastColumn="0" w:lastRow="0" w:noHBand="0" w:noVBand="1" w:val="04A0"/>
      </w:tblPr>
      <w:tblGrid>
        <w:gridCol w:w="5188"/>
        <w:gridCol w:w="5188"/>
      </w:tblGrid>
      <w:tr>
        <w:trPr>
          <w:cantSplit/>
        </w:trPr>
        <w:tc>
          <w:tcPr>
            <w:tcW w:type="dxa" w:w="2268"/>
            <w:shd w:fill="E7E6E6"/>
            <w:vAlign w:val="center"/>
          </w:tcPr>
          <w:p>
            <w:pPr>
              <w:spacing w:after="0" w:line="240" w:lineRule="auto"/>
            </w:pPr>
            <w:r/>
            <w:r>
              <w:rPr>
                <w:rFonts w:ascii="Liberation Sans" w:hAnsi="Liberation Sans"/>
                <w:b/>
                <w:sz w:val="15"/>
              </w:rPr>
              <w:t>Adversary capability</w:t>
            </w:r>
          </w:p>
        </w:tc>
        <w:tc>
          <w:tcPr>
            <w:tcW w:type="dxa" w:w="7483"/>
            <w:shd w:fill="E7E6E6"/>
            <w:vAlign w:val="center"/>
          </w:tcPr>
          <w:p>
            <w:pPr>
              <w:spacing w:after="0" w:line="240" w:lineRule="auto"/>
            </w:pPr>
            <w:r/>
            <w:r>
              <w:rPr>
                <w:rFonts w:ascii="Liberation Sans" w:hAnsi="Liberation Sans"/>
                <w:b/>
                <w:sz w:val="15"/>
              </w:rPr>
              <w:t>Assumption</w:t>
            </w:r>
          </w:p>
        </w:tc>
      </w:tr>
      <w:tr>
        <w:trPr>
          <w:cantSplit/>
        </w:trPr>
        <w:tc>
          <w:tcPr>
            <w:tcW w:type="dxa" w:w="2268"/>
            <w:vAlign w:val="center"/>
          </w:tcPr>
          <w:p>
            <w:pPr>
              <w:spacing w:after="0" w:line="240" w:lineRule="auto"/>
            </w:pPr>
            <w:r/>
            <w:r>
              <w:rPr>
                <w:rFonts w:ascii="Liberation Sans" w:hAnsi="Liberation Sans"/>
                <w:b w:val="0"/>
                <w:sz w:val="15"/>
              </w:rPr>
              <w:t>Social coaching</w:t>
            </w:r>
          </w:p>
        </w:tc>
        <w:tc>
          <w:tcPr>
            <w:tcW w:type="dxa" w:w="7483"/>
            <w:vAlign w:val="center"/>
          </w:tcPr>
          <w:p>
            <w:pPr>
              <w:spacing w:after="0" w:line="240" w:lineRule="auto"/>
            </w:pPr>
            <w:r/>
            <w:r>
              <w:rPr>
                <w:rFonts w:ascii="Liberation Sans" w:hAnsi="Liberation Sans"/>
                <w:b w:val="0"/>
                <w:sz w:val="15"/>
              </w:rPr>
              <w:t>Attacker can tell the victim what to click and can adapt to visible warnings.</w:t>
            </w:r>
          </w:p>
        </w:tc>
      </w:tr>
      <w:tr>
        <w:trPr>
          <w:cantSplit/>
        </w:trPr>
        <w:tc>
          <w:tcPr>
            <w:tcW w:type="dxa" w:w="2268"/>
            <w:vAlign w:val="center"/>
          </w:tcPr>
          <w:p>
            <w:pPr>
              <w:spacing w:after="0" w:line="240" w:lineRule="auto"/>
            </w:pPr>
            <w:r/>
            <w:r>
              <w:rPr>
                <w:rFonts w:ascii="Liberation Sans" w:hAnsi="Liberation Sans"/>
                <w:b w:val="0"/>
                <w:sz w:val="15"/>
              </w:rPr>
              <w:t>Beneficiary rotation</w:t>
            </w:r>
          </w:p>
        </w:tc>
        <w:tc>
          <w:tcPr>
            <w:tcW w:type="dxa" w:w="7483"/>
            <w:vAlign w:val="center"/>
          </w:tcPr>
          <w:p>
            <w:pPr>
              <w:spacing w:after="0" w:line="240" w:lineRule="auto"/>
            </w:pPr>
            <w:r/>
            <w:r>
              <w:rPr>
                <w:rFonts w:ascii="Liberation Sans" w:hAnsi="Liberation Sans"/>
                <w:b w:val="0"/>
                <w:sz w:val="15"/>
              </w:rPr>
              <w:t>Attacker can rotate VPAs/accounts and use mule chains.</w:t>
            </w:r>
          </w:p>
        </w:tc>
      </w:tr>
      <w:tr>
        <w:trPr>
          <w:cantSplit/>
        </w:trPr>
        <w:tc>
          <w:tcPr>
            <w:tcW w:type="dxa" w:w="2268"/>
            <w:vAlign w:val="center"/>
          </w:tcPr>
          <w:p>
            <w:pPr>
              <w:spacing w:after="0" w:line="240" w:lineRule="auto"/>
            </w:pPr>
            <w:r/>
            <w:r>
              <w:rPr>
                <w:rFonts w:ascii="Liberation Sans" w:hAnsi="Liberation Sans"/>
                <w:b w:val="0"/>
                <w:sz w:val="15"/>
              </w:rPr>
              <w:t>Remote-access tools</w:t>
            </w:r>
          </w:p>
        </w:tc>
        <w:tc>
          <w:tcPr>
            <w:tcW w:type="dxa" w:w="7483"/>
            <w:vAlign w:val="center"/>
          </w:tcPr>
          <w:p>
            <w:pPr>
              <w:spacing w:after="0" w:line="240" w:lineRule="auto"/>
            </w:pPr>
            <w:r/>
            <w:r>
              <w:rPr>
                <w:rFonts w:ascii="Liberation Sans" w:hAnsi="Liberation Sans"/>
                <w:b w:val="0"/>
                <w:sz w:val="15"/>
              </w:rPr>
              <w:t>Attacker may induce screen capture/control or overlays where platform rules permit.</w:t>
            </w:r>
          </w:p>
        </w:tc>
      </w:tr>
      <w:tr>
        <w:trPr>
          <w:cantSplit/>
        </w:trPr>
        <w:tc>
          <w:tcPr>
            <w:tcW w:type="dxa" w:w="2268"/>
            <w:vAlign w:val="center"/>
          </w:tcPr>
          <w:p>
            <w:pPr>
              <w:spacing w:after="0" w:line="240" w:lineRule="auto"/>
            </w:pPr>
            <w:r/>
            <w:r>
              <w:rPr>
                <w:rFonts w:ascii="Liberation Sans" w:hAnsi="Liberation Sans"/>
                <w:b w:val="0"/>
                <w:sz w:val="15"/>
              </w:rPr>
              <w:t>Signal evasion</w:t>
            </w:r>
          </w:p>
        </w:tc>
        <w:tc>
          <w:tcPr>
            <w:tcW w:type="dxa" w:w="7483"/>
            <w:vAlign w:val="center"/>
          </w:tcPr>
          <w:p>
            <w:pPr>
              <w:spacing w:after="0" w:line="240" w:lineRule="auto"/>
            </w:pPr>
            <w:r/>
            <w:r>
              <w:rPr>
                <w:rFonts w:ascii="Liberation Sans" w:hAnsi="Liberation Sans"/>
                <w:b w:val="0"/>
                <w:sz w:val="15"/>
              </w:rPr>
              <w:t>Attacker can move from cellular to VoIP, messaging, another device, or short calls.</w:t>
            </w:r>
          </w:p>
        </w:tc>
      </w:tr>
      <w:tr>
        <w:trPr>
          <w:cantSplit/>
        </w:trPr>
        <w:tc>
          <w:tcPr>
            <w:tcW w:type="dxa" w:w="2268"/>
            <w:vAlign w:val="center"/>
          </w:tcPr>
          <w:p>
            <w:pPr>
              <w:spacing w:after="0" w:line="240" w:lineRule="auto"/>
            </w:pPr>
            <w:r/>
            <w:r>
              <w:rPr>
                <w:rFonts w:ascii="Liberation Sans" w:hAnsi="Liberation Sans"/>
                <w:b w:val="0"/>
                <w:sz w:val="15"/>
              </w:rPr>
              <w:t>No device compromise</w:t>
            </w:r>
          </w:p>
        </w:tc>
        <w:tc>
          <w:tcPr>
            <w:tcW w:type="dxa" w:w="7483"/>
            <w:vAlign w:val="center"/>
          </w:tcPr>
          <w:p>
            <w:pPr>
              <w:spacing w:after="0" w:line="240" w:lineRule="auto"/>
            </w:pPr>
            <w:r/>
            <w:r>
              <w:rPr>
                <w:rFonts w:ascii="Liberation Sans" w:hAnsi="Liberation Sans"/>
                <w:b w:val="0"/>
                <w:sz w:val="15"/>
              </w:rPr>
              <w:t>Some attacks require no malware; therefore malware-only detection is insufficient.</w:t>
            </w:r>
          </w:p>
        </w:tc>
      </w:tr>
      <w:tr>
        <w:trPr>
          <w:cantSplit/>
        </w:trPr>
        <w:tc>
          <w:tcPr>
            <w:tcW w:type="dxa" w:w="2268"/>
            <w:vAlign w:val="center"/>
          </w:tcPr>
          <w:p>
            <w:pPr>
              <w:spacing w:after="0" w:line="240" w:lineRule="auto"/>
            </w:pPr>
            <w:r/>
            <w:r>
              <w:rPr>
                <w:rFonts w:ascii="Liberation Sans" w:hAnsi="Liberation Sans"/>
                <w:b w:val="0"/>
                <w:sz w:val="15"/>
              </w:rPr>
              <w:t>Institutional blind spots</w:t>
            </w:r>
          </w:p>
        </w:tc>
        <w:tc>
          <w:tcPr>
            <w:tcW w:type="dxa" w:w="7483"/>
            <w:vAlign w:val="center"/>
          </w:tcPr>
          <w:p>
            <w:pPr>
              <w:spacing w:after="0" w:line="240" w:lineRule="auto"/>
            </w:pPr>
            <w:r/>
            <w:r>
              <w:rPr>
                <w:rFonts w:ascii="Liberation Sans" w:hAnsi="Liberation Sans"/>
                <w:b w:val="0"/>
                <w:sz w:val="15"/>
              </w:rPr>
              <w:t>One bank may see only part of a cross-bank mule topology.</w:t>
            </w:r>
          </w:p>
        </w:tc>
      </w:tr>
    </w:tbl>
    <w:p>
      <w:pPr>
        <w:pStyle w:val="Tiny"/>
      </w:pPr>
    </w:p>
    <w:p>
      <w:r>
        <w:br w:type="page"/>
      </w:r>
    </w:p>
    <w:p>
      <w:pPr>
        <w:spacing w:after="0"/>
      </w:pPr>
      <w:r>
        <w:rPr>
          <w:b/>
          <w:sz w:val="15"/>
        </w:rPr>
        <w:t>REQUIREMENTS</w:t>
      </w:r>
    </w:p>
    <w:p>
      <w:pPr>
        <w:pStyle w:val="Heading1"/>
      </w:pPr>
      <w:r>
        <w:t>Product Scope, Non-Goals and Requirement Priorities</w:t>
      </w:r>
    </w:p>
    <w:p>
      <w:r>
        <w:t>The MVP is intentionally narrow at the point of authorization but deep in reasoning. It does not attempt to monitor the user continuously. The host application invokes Vyuha for a protected transaction session, Vyuha collects a bounded context snapshot, updates local risk state, optionally consumes a signed institutional graph-risk token, and returns a decision object that the host renders natively.</w:t>
      </w:r>
    </w:p>
    <w:tbl>
      <w:tblPr>
        <w:tblStyle w:val="TableGrid"/>
        <w:tblW w:type="auto" w:w="0"/>
        <w:jc w:val="center"/>
        <w:tblLook w:firstColumn="1" w:firstRow="1" w:lastColumn="0" w:lastRow="0" w:noHBand="0" w:noVBand="1" w:val="04A0"/>
      </w:tblPr>
      <w:tblGrid>
        <w:gridCol w:w="5188"/>
        <w:gridCol w:w="5188"/>
      </w:tblGrid>
      <w:tr>
        <w:trPr>
          <w:cantSplit/>
        </w:trPr>
        <w:tc>
          <w:tcPr>
            <w:tcW w:type="dxa" w:w="1134"/>
            <w:shd w:fill="E7E6E6"/>
            <w:vAlign w:val="center"/>
          </w:tcPr>
          <w:p>
            <w:pPr>
              <w:spacing w:after="0" w:line="240" w:lineRule="auto"/>
            </w:pPr>
            <w:r/>
            <w:r>
              <w:rPr>
                <w:rFonts w:ascii="Liberation Sans" w:hAnsi="Liberation Sans"/>
                <w:b/>
                <w:sz w:val="15"/>
              </w:rPr>
              <w:t>Priority</w:t>
            </w:r>
          </w:p>
        </w:tc>
        <w:tc>
          <w:tcPr>
            <w:tcW w:type="dxa" w:w="8617"/>
            <w:shd w:fill="E7E6E6"/>
            <w:vAlign w:val="center"/>
          </w:tcPr>
          <w:p>
            <w:pPr>
              <w:spacing w:after="0" w:line="240" w:lineRule="auto"/>
            </w:pPr>
            <w:r/>
            <w:r>
              <w:rPr>
                <w:rFonts w:ascii="Liberation Sans" w:hAnsi="Liberation Sans"/>
                <w:b/>
                <w:sz w:val="15"/>
              </w:rPr>
              <w:t>Requirement</w:t>
            </w:r>
          </w:p>
        </w:tc>
      </w:tr>
      <w:tr>
        <w:trPr>
          <w:cantSplit/>
        </w:trPr>
        <w:tc>
          <w:tcPr>
            <w:tcW w:type="dxa" w:w="1134"/>
            <w:vAlign w:val="center"/>
          </w:tcPr>
          <w:p>
            <w:pPr>
              <w:spacing w:after="0" w:line="240" w:lineRule="auto"/>
            </w:pPr>
            <w:r/>
            <w:r>
              <w:rPr>
                <w:rFonts w:ascii="Liberation Sans" w:hAnsi="Liberation Sans"/>
                <w:b w:val="0"/>
                <w:sz w:val="15"/>
              </w:rPr>
              <w:t>P0</w:t>
            </w:r>
          </w:p>
        </w:tc>
        <w:tc>
          <w:tcPr>
            <w:tcW w:type="dxa" w:w="8617"/>
            <w:vAlign w:val="center"/>
          </w:tcPr>
          <w:p>
            <w:pPr>
              <w:spacing w:after="0" w:line="240" w:lineRule="auto"/>
            </w:pPr>
            <w:r/>
            <w:r>
              <w:rPr>
                <w:rFonts w:ascii="Liberation Sans" w:hAnsi="Liberation Sans"/>
                <w:b w:val="0"/>
                <w:sz w:val="15"/>
              </w:rPr>
              <w:t>Run core edge inference locally; no remote LLM/API call on the critical authorization path.</w:t>
            </w:r>
          </w:p>
        </w:tc>
      </w:tr>
      <w:tr>
        <w:trPr>
          <w:cantSplit/>
        </w:trPr>
        <w:tc>
          <w:tcPr>
            <w:tcW w:type="dxa" w:w="1134"/>
            <w:vAlign w:val="center"/>
          </w:tcPr>
          <w:p>
            <w:pPr>
              <w:spacing w:after="0" w:line="240" w:lineRule="auto"/>
            </w:pPr>
            <w:r/>
            <w:r>
              <w:rPr>
                <w:rFonts w:ascii="Liberation Sans" w:hAnsi="Liberation Sans"/>
                <w:b w:val="0"/>
                <w:sz w:val="15"/>
              </w:rPr>
              <w:t>P0</w:t>
            </w:r>
          </w:p>
        </w:tc>
        <w:tc>
          <w:tcPr>
            <w:tcW w:type="dxa" w:w="8617"/>
            <w:vAlign w:val="center"/>
          </w:tcPr>
          <w:p>
            <w:pPr>
              <w:spacing w:after="0" w:line="240" w:lineRule="auto"/>
            </w:pPr>
            <w:r/>
            <w:r>
              <w:rPr>
                <w:rFonts w:ascii="Liberation Sans" w:hAnsi="Liberation Sans"/>
                <w:b w:val="0"/>
                <w:sz w:val="15"/>
              </w:rPr>
              <w:t>Support a silent fast path for benign sessions and an auditable reason-coded path for elevated sessions.</w:t>
            </w:r>
          </w:p>
        </w:tc>
      </w:tr>
      <w:tr>
        <w:trPr>
          <w:cantSplit/>
        </w:trPr>
        <w:tc>
          <w:tcPr>
            <w:tcW w:type="dxa" w:w="1134"/>
            <w:vAlign w:val="center"/>
          </w:tcPr>
          <w:p>
            <w:pPr>
              <w:spacing w:after="0" w:line="240" w:lineRule="auto"/>
            </w:pPr>
            <w:r/>
            <w:r>
              <w:rPr>
                <w:rFonts w:ascii="Liberation Sans" w:hAnsi="Liberation Sans"/>
                <w:b w:val="0"/>
                <w:sz w:val="15"/>
              </w:rPr>
              <w:t>P0</w:t>
            </w:r>
          </w:p>
        </w:tc>
        <w:tc>
          <w:tcPr>
            <w:tcW w:type="dxa" w:w="8617"/>
            <w:vAlign w:val="center"/>
          </w:tcPr>
          <w:p>
            <w:pPr>
              <w:spacing w:after="0" w:line="240" w:lineRule="auto"/>
            </w:pPr>
            <w:r/>
            <w:r>
              <w:rPr>
                <w:rFonts w:ascii="Liberation Sans" w:hAnsi="Liberation Sans"/>
                <w:b w:val="0"/>
                <w:sz w:val="15"/>
              </w:rPr>
              <w:t>Integrate as an SDK/module in the participating host app; no dependency on generic Android overlays for core banking UX.</w:t>
            </w:r>
          </w:p>
        </w:tc>
      </w:tr>
      <w:tr>
        <w:trPr>
          <w:cantSplit/>
        </w:trPr>
        <w:tc>
          <w:tcPr>
            <w:tcW w:type="dxa" w:w="1134"/>
            <w:vAlign w:val="center"/>
          </w:tcPr>
          <w:p>
            <w:pPr>
              <w:spacing w:after="0" w:line="240" w:lineRule="auto"/>
            </w:pPr>
            <w:r/>
            <w:r>
              <w:rPr>
                <w:rFonts w:ascii="Liberation Sans" w:hAnsi="Liberation Sans"/>
                <w:b w:val="0"/>
                <w:sz w:val="15"/>
              </w:rPr>
              <w:t>P0</w:t>
            </w:r>
          </w:p>
        </w:tc>
        <w:tc>
          <w:tcPr>
            <w:tcW w:type="dxa" w:w="8617"/>
            <w:vAlign w:val="center"/>
          </w:tcPr>
          <w:p>
            <w:pPr>
              <w:spacing w:after="0" w:line="240" w:lineRule="auto"/>
            </w:pPr>
            <w:r/>
            <w:r>
              <w:rPr>
                <w:rFonts w:ascii="Liberation Sans" w:hAnsi="Liberation Sans"/>
                <w:b w:val="0"/>
                <w:sz w:val="15"/>
              </w:rPr>
              <w:t>Model coercion as evidence accumulated over a short event sequence; no single trigger is conclusive.</w:t>
            </w:r>
          </w:p>
        </w:tc>
      </w:tr>
      <w:tr>
        <w:trPr>
          <w:cantSplit/>
        </w:trPr>
        <w:tc>
          <w:tcPr>
            <w:tcW w:type="dxa" w:w="1134"/>
            <w:vAlign w:val="center"/>
          </w:tcPr>
          <w:p>
            <w:pPr>
              <w:spacing w:after="0" w:line="240" w:lineRule="auto"/>
            </w:pPr>
            <w:r/>
            <w:r>
              <w:rPr>
                <w:rFonts w:ascii="Liberation Sans" w:hAnsi="Liberation Sans"/>
                <w:b w:val="0"/>
                <w:sz w:val="15"/>
              </w:rPr>
              <w:t>P0</w:t>
            </w:r>
          </w:p>
        </w:tc>
        <w:tc>
          <w:tcPr>
            <w:tcW w:type="dxa" w:w="8617"/>
            <w:vAlign w:val="center"/>
          </w:tcPr>
          <w:p>
            <w:pPr>
              <w:spacing w:after="0" w:line="240" w:lineRule="auto"/>
            </w:pPr>
            <w:r/>
            <w:r>
              <w:rPr>
                <w:rFonts w:ascii="Liberation Sans" w:hAnsi="Liberation Sans"/>
                <w:b w:val="0"/>
                <w:sz w:val="15"/>
              </w:rPr>
              <w:t>Use institution-side heterogeneous temporal graph intelligence when available, but fail safely when unavailable.</w:t>
            </w:r>
          </w:p>
        </w:tc>
      </w:tr>
      <w:tr>
        <w:trPr>
          <w:cantSplit/>
        </w:trPr>
        <w:tc>
          <w:tcPr>
            <w:tcW w:type="dxa" w:w="1134"/>
            <w:vAlign w:val="center"/>
          </w:tcPr>
          <w:p>
            <w:pPr>
              <w:spacing w:after="0" w:line="240" w:lineRule="auto"/>
            </w:pPr>
            <w:r/>
            <w:r>
              <w:rPr>
                <w:rFonts w:ascii="Liberation Sans" w:hAnsi="Liberation Sans"/>
                <w:b w:val="0"/>
                <w:sz w:val="15"/>
              </w:rPr>
              <w:t>P0</w:t>
            </w:r>
          </w:p>
        </w:tc>
        <w:tc>
          <w:tcPr>
            <w:tcW w:type="dxa" w:w="8617"/>
            <w:vAlign w:val="center"/>
          </w:tcPr>
          <w:p>
            <w:pPr>
              <w:spacing w:after="0" w:line="240" w:lineRule="auto"/>
            </w:pPr>
            <w:r/>
            <w:r>
              <w:rPr>
                <w:rFonts w:ascii="Liberation Sans" w:hAnsi="Liberation Sans"/>
                <w:b w:val="0"/>
                <w:sz w:val="15"/>
              </w:rPr>
              <w:t>Use a constrained intervention policy with only pre-approved actions; no unconstrained generative action.</w:t>
            </w:r>
          </w:p>
        </w:tc>
      </w:tr>
      <w:tr>
        <w:trPr>
          <w:cantSplit/>
        </w:trPr>
        <w:tc>
          <w:tcPr>
            <w:tcW w:type="dxa" w:w="1134"/>
            <w:vAlign w:val="center"/>
          </w:tcPr>
          <w:p>
            <w:pPr>
              <w:spacing w:after="0" w:line="240" w:lineRule="auto"/>
            </w:pPr>
            <w:r/>
            <w:r>
              <w:rPr>
                <w:rFonts w:ascii="Liberation Sans" w:hAnsi="Liberation Sans"/>
                <w:b w:val="0"/>
                <w:sz w:val="15"/>
              </w:rPr>
              <w:t>P1</w:t>
            </w:r>
          </w:p>
        </w:tc>
        <w:tc>
          <w:tcPr>
            <w:tcW w:type="dxa" w:w="8617"/>
            <w:vAlign w:val="center"/>
          </w:tcPr>
          <w:p>
            <w:pPr>
              <w:spacing w:after="0" w:line="240" w:lineRule="auto"/>
            </w:pPr>
            <w:r/>
            <w:r>
              <w:rPr>
                <w:rFonts w:ascii="Liberation Sans" w:hAnsi="Liberation Sans"/>
                <w:b w:val="0"/>
                <w:sz w:val="15"/>
              </w:rPr>
              <w:t>Use calibrated/selective uncertainty to separate pass, mild friction, strong friction and abstention.</w:t>
            </w:r>
          </w:p>
        </w:tc>
      </w:tr>
      <w:tr>
        <w:trPr>
          <w:cantSplit/>
        </w:trPr>
        <w:tc>
          <w:tcPr>
            <w:tcW w:type="dxa" w:w="1134"/>
            <w:vAlign w:val="center"/>
          </w:tcPr>
          <w:p>
            <w:pPr>
              <w:spacing w:after="0" w:line="240" w:lineRule="auto"/>
            </w:pPr>
            <w:r/>
            <w:r>
              <w:rPr>
                <w:rFonts w:ascii="Liberation Sans" w:hAnsi="Liberation Sans"/>
                <w:b w:val="0"/>
                <w:sz w:val="15"/>
              </w:rPr>
              <w:t>P1</w:t>
            </w:r>
          </w:p>
        </w:tc>
        <w:tc>
          <w:tcPr>
            <w:tcW w:type="dxa" w:w="8617"/>
            <w:vAlign w:val="center"/>
          </w:tcPr>
          <w:p>
            <w:pPr>
              <w:spacing w:after="0" w:line="240" w:lineRule="auto"/>
            </w:pPr>
            <w:r/>
            <w:r>
              <w:rPr>
                <w:rFonts w:ascii="Liberation Sans" w:hAnsi="Liberation Sans"/>
                <w:b w:val="0"/>
                <w:sz w:val="15"/>
              </w:rPr>
              <w:t>Provide Safety Circle / bank-fraud-desk escalation with explicit user control and minimal disclosure.</w:t>
            </w:r>
          </w:p>
        </w:tc>
      </w:tr>
      <w:tr>
        <w:trPr>
          <w:cantSplit/>
        </w:trPr>
        <w:tc>
          <w:tcPr>
            <w:tcW w:type="dxa" w:w="1134"/>
            <w:vAlign w:val="center"/>
          </w:tcPr>
          <w:p>
            <w:pPr>
              <w:spacing w:after="0" w:line="240" w:lineRule="auto"/>
            </w:pPr>
            <w:r/>
            <w:r>
              <w:rPr>
                <w:rFonts w:ascii="Liberation Sans" w:hAnsi="Liberation Sans"/>
                <w:b w:val="0"/>
                <w:sz w:val="15"/>
              </w:rPr>
              <w:t>P1</w:t>
            </w:r>
          </w:p>
        </w:tc>
        <w:tc>
          <w:tcPr>
            <w:tcW w:type="dxa" w:w="8617"/>
            <w:vAlign w:val="center"/>
          </w:tcPr>
          <w:p>
            <w:pPr>
              <w:spacing w:after="0" w:line="240" w:lineRule="auto"/>
            </w:pPr>
            <w:r/>
            <w:r>
              <w:rPr>
                <w:rFonts w:ascii="Liberation Sans" w:hAnsi="Liberation Sans"/>
                <w:b w:val="0"/>
                <w:sz w:val="15"/>
              </w:rPr>
              <w:t>Support signed model/config bundles, version rollback and device/integrity telemetry.</w:t>
            </w:r>
          </w:p>
        </w:tc>
      </w:tr>
      <w:tr>
        <w:trPr>
          <w:cantSplit/>
        </w:trPr>
        <w:tc>
          <w:tcPr>
            <w:tcW w:type="dxa" w:w="1134"/>
            <w:vAlign w:val="center"/>
          </w:tcPr>
          <w:p>
            <w:pPr>
              <w:spacing w:after="0" w:line="240" w:lineRule="auto"/>
            </w:pPr>
            <w:r/>
            <w:r>
              <w:rPr>
                <w:rFonts w:ascii="Liberation Sans" w:hAnsi="Liberation Sans"/>
                <w:b w:val="0"/>
                <w:sz w:val="15"/>
              </w:rPr>
              <w:t>P2</w:t>
            </w:r>
          </w:p>
        </w:tc>
        <w:tc>
          <w:tcPr>
            <w:tcW w:type="dxa" w:w="8617"/>
            <w:vAlign w:val="center"/>
          </w:tcPr>
          <w:p>
            <w:pPr>
              <w:spacing w:after="0" w:line="240" w:lineRule="auto"/>
            </w:pPr>
            <w:r/>
            <w:r>
              <w:rPr>
                <w:rFonts w:ascii="Liberation Sans" w:hAnsi="Liberation Sans"/>
                <w:b w:val="0"/>
                <w:sz w:val="15"/>
              </w:rPr>
              <w:t>Federated/cross-institution learning and telecom-derived risk enrichment.</w:t>
            </w:r>
          </w:p>
        </w:tc>
      </w:tr>
    </w:tbl>
    <w:p>
      <w:pPr>
        <w:pStyle w:val="Tiny"/>
      </w:pPr>
    </w:p>
    <w:p>
      <w:pPr>
        <w:pStyle w:val="Heading2"/>
      </w:pPr>
      <w:r>
        <w:t>Non-goals</w:t>
      </w:r>
    </w:p>
    <w:p>
      <w:pPr>
        <w:ind w:left="215" w:hanging="125"/>
      </w:pPr>
      <w:r>
        <w:rPr>
          <w:b/>
        </w:rPr>
        <w:t xml:space="preserve">• </w:t>
      </w:r>
      <w:r>
        <w:t>Recording or understanding private calls as a default fraud signal.</w:t>
      </w:r>
    </w:p>
    <w:p>
      <w:pPr>
        <w:ind w:left="215" w:hanging="125"/>
      </w:pPr>
      <w:r>
        <w:rPr>
          <w:b/>
        </w:rPr>
        <w:t xml:space="preserve">• </w:t>
      </w:r>
      <w:r>
        <w:t>Reading arbitrary WhatsApp/Telegram/SMS content to classify scams.</w:t>
      </w:r>
    </w:p>
    <w:p>
      <w:pPr>
        <w:ind w:left="215" w:hanging="125"/>
      </w:pPr>
      <w:r>
        <w:rPr>
          <w:b/>
        </w:rPr>
        <w:t xml:space="preserve">• </w:t>
      </w:r>
      <w:r>
        <w:t>Claiming to terminate any third-party call across Android versions; the product instead requests closure/remediation through host/platform-supported paths.</w:t>
      </w:r>
    </w:p>
    <w:p>
      <w:pPr>
        <w:ind w:left="215" w:hanging="125"/>
      </w:pPr>
      <w:r>
        <w:rPr>
          <w:b/>
        </w:rPr>
        <w:t xml:space="preserve">• </w:t>
      </w:r>
      <w:r>
        <w:t>Executing online reinforcement-learning exploration on real victims.</w:t>
      </w:r>
    </w:p>
    <w:p>
      <w:pPr>
        <w:ind w:left="215" w:hanging="125"/>
      </w:pPr>
      <w:r>
        <w:rPr>
          <w:b/>
        </w:rPr>
        <w:t xml:space="preserve">• </w:t>
      </w:r>
      <w:r>
        <w:t>Guaranteeing legal compliance solely through architecture; legal/compliance approval remains an institutional process.</w:t>
      </w:r>
    </w:p>
    <w:p>
      <w:pPr>
        <w:ind w:left="215" w:hanging="125"/>
      </w:pPr>
      <w:r>
        <w:rPr>
          <w:b/>
        </w:rPr>
        <w:t xml:space="preserve">• </w:t>
      </w:r>
      <w:r>
        <w:t>Claiming “0% false positives,” “zero battery drain,” or any latency/accuracy number not produced by the documented benchmark harness.</w:t>
      </w:r>
    </w:p>
    <w:tbl>
      <w:tblPr>
        <w:tblStyle w:val="TableGrid"/>
        <w:tblW w:type="auto" w:w="0"/>
        <w:jc w:val="center"/>
        <w:tblLook w:firstColumn="1" w:firstRow="1" w:lastColumn="0" w:lastRow="0" w:noHBand="0" w:noVBand="1" w:val="04A0"/>
      </w:tblPr>
      <w:tblGrid>
        <w:gridCol w:w="10376"/>
      </w:tblGrid>
      <w:tr>
        <w:trPr>
          <w:cantSplit/>
        </w:trPr>
        <w:tc>
          <w:tcPr>
            <w:tcW w:type="dxa" w:w="10376"/>
            <w:shd w:fill="F2F2F2"/>
            <w:vAlign w:val="center"/>
          </w:tcPr>
          <w:p>
            <w:pPr>
              <w:spacing w:after="20"/>
            </w:pPr>
            <w:r/>
            <w:r>
              <w:rPr>
                <w:rFonts w:ascii="Liberation Sans" w:hAnsi="Liberation Sans"/>
                <w:b/>
                <w:sz w:val="17"/>
              </w:rPr>
              <w:t xml:space="preserve">Definition of done — </w:t>
            </w:r>
            <w:r>
              <w:rPr>
                <w:rFonts w:ascii="Liberation Sans" w:hAnsi="Liberation Sans"/>
                <w:sz w:val="17"/>
              </w:rPr>
              <w:t>For the hackathon, “working” means the jury can run one benign and one coercion scenario, see actual local inference outputs, see the graph-risk service return a real score from a temporal heterogeneous graph, observe a policy-selected intervention, and inspect the decision trace. A slide-only architecture does not satisfy P0 prototype quality.</w:t>
            </w:r>
          </w:p>
        </w:tc>
      </w:tr>
    </w:tbl>
    <w:p>
      <w:pPr>
        <w:pStyle w:val="Tiny"/>
      </w:pPr>
    </w:p>
    <w:p>
      <w:r>
        <w:br w:type="page"/>
      </w:r>
    </w:p>
    <w:p>
      <w:pPr>
        <w:spacing w:after="0"/>
      </w:pPr>
      <w:r>
        <w:rPr>
          <w:b/>
          <w:sz w:val="15"/>
        </w:rPr>
        <w:t>USERS</w:t>
      </w:r>
    </w:p>
    <w:p>
      <w:pPr>
        <w:pStyle w:val="Heading1"/>
      </w:pPr>
      <w:r>
        <w:t>Personas, Stakeholders and Jobs-to-Be-Done</w:t>
      </w:r>
    </w:p>
    <w:tbl>
      <w:tblPr>
        <w:tblStyle w:val="TableGrid"/>
        <w:tblW w:type="auto" w:w="0"/>
        <w:jc w:val="center"/>
        <w:tblLook w:firstColumn="1" w:firstRow="1" w:lastColumn="0" w:lastRow="0" w:noHBand="0" w:noVBand="1" w:val="04A0"/>
      </w:tblPr>
      <w:tblGrid>
        <w:gridCol w:w="3459"/>
        <w:gridCol w:w="3459"/>
        <w:gridCol w:w="3459"/>
      </w:tblGrid>
      <w:tr>
        <w:trPr>
          <w:cantSplit/>
        </w:trPr>
        <w:tc>
          <w:tcPr>
            <w:tcW w:type="dxa" w:w="2098"/>
            <w:shd w:fill="E7E6E6"/>
            <w:vAlign w:val="center"/>
          </w:tcPr>
          <w:p>
            <w:pPr>
              <w:spacing w:after="0" w:line="240" w:lineRule="auto"/>
            </w:pPr>
            <w:r/>
            <w:r>
              <w:rPr>
                <w:rFonts w:ascii="Liberation Sans" w:hAnsi="Liberation Sans"/>
                <w:b/>
                <w:sz w:val="14"/>
              </w:rPr>
              <w:t>Persona / stakeholder</w:t>
            </w:r>
          </w:p>
        </w:tc>
        <w:tc>
          <w:tcPr>
            <w:tcW w:type="dxa" w:w="3515"/>
            <w:shd w:fill="E7E6E6"/>
            <w:vAlign w:val="center"/>
          </w:tcPr>
          <w:p>
            <w:pPr>
              <w:spacing w:after="0" w:line="240" w:lineRule="auto"/>
            </w:pPr>
            <w:r/>
            <w:r>
              <w:rPr>
                <w:rFonts w:ascii="Liberation Sans" w:hAnsi="Liberation Sans"/>
                <w:b/>
                <w:sz w:val="14"/>
              </w:rPr>
              <w:t>Need</w:t>
            </w:r>
          </w:p>
        </w:tc>
        <w:tc>
          <w:tcPr>
            <w:tcW w:type="dxa" w:w="4195"/>
            <w:shd w:fill="E7E6E6"/>
            <w:vAlign w:val="center"/>
          </w:tcPr>
          <w:p>
            <w:pPr>
              <w:spacing w:after="0" w:line="240" w:lineRule="auto"/>
            </w:pPr>
            <w:r/>
            <w:r>
              <w:rPr>
                <w:rFonts w:ascii="Liberation Sans" w:hAnsi="Liberation Sans"/>
                <w:b/>
                <w:sz w:val="14"/>
              </w:rPr>
              <w:t>Vyuha job</w:t>
            </w:r>
          </w:p>
        </w:tc>
      </w:tr>
      <w:tr>
        <w:trPr>
          <w:cantSplit/>
        </w:trPr>
        <w:tc>
          <w:tcPr>
            <w:tcW w:type="dxa" w:w="2098"/>
            <w:vAlign w:val="center"/>
          </w:tcPr>
          <w:p>
            <w:pPr>
              <w:spacing w:after="0" w:line="240" w:lineRule="auto"/>
            </w:pPr>
            <w:r/>
            <w:r>
              <w:rPr>
                <w:rFonts w:ascii="Liberation Sans" w:hAnsi="Liberation Sans"/>
                <w:b w:val="0"/>
                <w:sz w:val="14"/>
              </w:rPr>
              <w:t>Everyday payer</w:t>
            </w:r>
          </w:p>
        </w:tc>
        <w:tc>
          <w:tcPr>
            <w:tcW w:type="dxa" w:w="3515"/>
            <w:vAlign w:val="center"/>
          </w:tcPr>
          <w:p>
            <w:pPr>
              <w:spacing w:after="0" w:line="240" w:lineRule="auto"/>
            </w:pPr>
            <w:r/>
            <w:r>
              <w:rPr>
                <w:rFonts w:ascii="Liberation Sans" w:hAnsi="Liberation Sans"/>
                <w:b w:val="0"/>
                <w:sz w:val="14"/>
              </w:rPr>
              <w:t>Complete normal payments instantly and safely.</w:t>
            </w:r>
          </w:p>
        </w:tc>
        <w:tc>
          <w:tcPr>
            <w:tcW w:type="dxa" w:w="4195"/>
            <w:vAlign w:val="center"/>
          </w:tcPr>
          <w:p>
            <w:pPr>
              <w:spacing w:after="0" w:line="240" w:lineRule="auto"/>
            </w:pPr>
            <w:r/>
            <w:r>
              <w:rPr>
                <w:rFonts w:ascii="Liberation Sans" w:hAnsi="Liberation Sans"/>
                <w:b w:val="0"/>
                <w:sz w:val="14"/>
              </w:rPr>
              <w:t>Remain invisible unless meaningful risk appears; explain intervention without panic.</w:t>
            </w:r>
          </w:p>
        </w:tc>
      </w:tr>
      <w:tr>
        <w:trPr>
          <w:cantSplit/>
        </w:trPr>
        <w:tc>
          <w:tcPr>
            <w:tcW w:type="dxa" w:w="2098"/>
            <w:vAlign w:val="center"/>
          </w:tcPr>
          <w:p>
            <w:pPr>
              <w:spacing w:after="0" w:line="240" w:lineRule="auto"/>
            </w:pPr>
            <w:r/>
            <w:r>
              <w:rPr>
                <w:rFonts w:ascii="Liberation Sans" w:hAnsi="Liberation Sans"/>
                <w:b w:val="0"/>
                <w:sz w:val="14"/>
              </w:rPr>
              <w:t>Coerced payer</w:t>
            </w:r>
          </w:p>
        </w:tc>
        <w:tc>
          <w:tcPr>
            <w:tcW w:type="dxa" w:w="3515"/>
            <w:vAlign w:val="center"/>
          </w:tcPr>
          <w:p>
            <w:pPr>
              <w:spacing w:after="0" w:line="240" w:lineRule="auto"/>
            </w:pPr>
            <w:r/>
            <w:r>
              <w:rPr>
                <w:rFonts w:ascii="Liberation Sans" w:hAnsi="Liberation Sans"/>
                <w:b w:val="0"/>
                <w:sz w:val="14"/>
              </w:rPr>
              <w:t>Escape an attacker-controlled cognitive loop.</w:t>
            </w:r>
          </w:p>
        </w:tc>
        <w:tc>
          <w:tcPr>
            <w:tcW w:type="dxa" w:w="4195"/>
            <w:vAlign w:val="center"/>
          </w:tcPr>
          <w:p>
            <w:pPr>
              <w:spacing w:after="0" w:line="240" w:lineRule="auto"/>
            </w:pPr>
            <w:r/>
            <w:r>
              <w:rPr>
                <w:rFonts w:ascii="Liberation Sans" w:hAnsi="Liberation Sans"/>
                <w:b w:val="0"/>
                <w:sz w:val="14"/>
              </w:rPr>
              <w:t>Create a safe interruption, independent verification and a reversible path away from the payment.</w:t>
            </w:r>
          </w:p>
        </w:tc>
      </w:tr>
      <w:tr>
        <w:trPr>
          <w:cantSplit/>
        </w:trPr>
        <w:tc>
          <w:tcPr>
            <w:tcW w:type="dxa" w:w="2098"/>
            <w:vAlign w:val="center"/>
          </w:tcPr>
          <w:p>
            <w:pPr>
              <w:spacing w:after="0" w:line="240" w:lineRule="auto"/>
            </w:pPr>
            <w:r/>
            <w:r>
              <w:rPr>
                <w:rFonts w:ascii="Liberation Sans" w:hAnsi="Liberation Sans"/>
                <w:b w:val="0"/>
                <w:sz w:val="14"/>
              </w:rPr>
              <w:t>Older / vulnerable user</w:t>
            </w:r>
          </w:p>
        </w:tc>
        <w:tc>
          <w:tcPr>
            <w:tcW w:type="dxa" w:w="3515"/>
            <w:vAlign w:val="center"/>
          </w:tcPr>
          <w:p>
            <w:pPr>
              <w:spacing w:after="0" w:line="240" w:lineRule="auto"/>
            </w:pPr>
            <w:r/>
            <w:r>
              <w:rPr>
                <w:rFonts w:ascii="Liberation Sans" w:hAnsi="Liberation Sans"/>
                <w:b w:val="0"/>
                <w:sz w:val="14"/>
              </w:rPr>
              <w:t>Avoid confusing security jargon.</w:t>
            </w:r>
          </w:p>
        </w:tc>
        <w:tc>
          <w:tcPr>
            <w:tcW w:type="dxa" w:w="4195"/>
            <w:vAlign w:val="center"/>
          </w:tcPr>
          <w:p>
            <w:pPr>
              <w:spacing w:after="0" w:line="240" w:lineRule="auto"/>
            </w:pPr>
            <w:r/>
            <w:r>
              <w:rPr>
                <w:rFonts w:ascii="Liberation Sans" w:hAnsi="Liberation Sans"/>
                <w:b w:val="0"/>
                <w:sz w:val="14"/>
              </w:rPr>
              <w:t>Use direct language, large actions, trusted verification and no blame.</w:t>
            </w:r>
          </w:p>
        </w:tc>
      </w:tr>
      <w:tr>
        <w:trPr>
          <w:cantSplit/>
        </w:trPr>
        <w:tc>
          <w:tcPr>
            <w:tcW w:type="dxa" w:w="2098"/>
            <w:vAlign w:val="center"/>
          </w:tcPr>
          <w:p>
            <w:pPr>
              <w:spacing w:after="0" w:line="240" w:lineRule="auto"/>
            </w:pPr>
            <w:r/>
            <w:r>
              <w:rPr>
                <w:rFonts w:ascii="Liberation Sans" w:hAnsi="Liberation Sans"/>
                <w:b w:val="0"/>
                <w:sz w:val="14"/>
              </w:rPr>
              <w:t>PSP / TPAP product owner</w:t>
            </w:r>
          </w:p>
        </w:tc>
        <w:tc>
          <w:tcPr>
            <w:tcW w:type="dxa" w:w="3515"/>
            <w:vAlign w:val="center"/>
          </w:tcPr>
          <w:p>
            <w:pPr>
              <w:spacing w:after="0" w:line="240" w:lineRule="auto"/>
            </w:pPr>
            <w:r/>
            <w:r>
              <w:rPr>
                <w:rFonts w:ascii="Liberation Sans" w:hAnsi="Liberation Sans"/>
                <w:b w:val="0"/>
                <w:sz w:val="14"/>
              </w:rPr>
              <w:t>Reduce authorised-fraud losses without hurting conversion.</w:t>
            </w:r>
          </w:p>
        </w:tc>
        <w:tc>
          <w:tcPr>
            <w:tcW w:type="dxa" w:w="4195"/>
            <w:vAlign w:val="center"/>
          </w:tcPr>
          <w:p>
            <w:pPr>
              <w:spacing w:after="0" w:line="240" w:lineRule="auto"/>
            </w:pPr>
            <w:r/>
            <w:r>
              <w:rPr>
                <w:rFonts w:ascii="Liberation Sans" w:hAnsi="Liberation Sans"/>
                <w:b w:val="0"/>
                <w:sz w:val="14"/>
              </w:rPr>
              <w:t>Expose SDK decision contracts, experiment controls and low-friction policies.</w:t>
            </w:r>
          </w:p>
        </w:tc>
      </w:tr>
      <w:tr>
        <w:trPr>
          <w:cantSplit/>
        </w:trPr>
        <w:tc>
          <w:tcPr>
            <w:tcW w:type="dxa" w:w="2098"/>
            <w:vAlign w:val="center"/>
          </w:tcPr>
          <w:p>
            <w:pPr>
              <w:spacing w:after="0" w:line="240" w:lineRule="auto"/>
            </w:pPr>
            <w:r/>
            <w:r>
              <w:rPr>
                <w:rFonts w:ascii="Liberation Sans" w:hAnsi="Liberation Sans"/>
                <w:b w:val="0"/>
                <w:sz w:val="14"/>
              </w:rPr>
              <w:t>Bank fraud team</w:t>
            </w:r>
          </w:p>
        </w:tc>
        <w:tc>
          <w:tcPr>
            <w:tcW w:type="dxa" w:w="3515"/>
            <w:vAlign w:val="center"/>
          </w:tcPr>
          <w:p>
            <w:pPr>
              <w:spacing w:after="0" w:line="240" w:lineRule="auto"/>
            </w:pPr>
            <w:r/>
            <w:r>
              <w:rPr>
                <w:rFonts w:ascii="Liberation Sans" w:hAnsi="Liberation Sans"/>
                <w:b w:val="0"/>
                <w:sz w:val="14"/>
              </w:rPr>
              <w:t>Use beneficiary network context and outcomes.</w:t>
            </w:r>
          </w:p>
        </w:tc>
        <w:tc>
          <w:tcPr>
            <w:tcW w:type="dxa" w:w="4195"/>
            <w:vAlign w:val="center"/>
          </w:tcPr>
          <w:p>
            <w:pPr>
              <w:spacing w:after="0" w:line="240" w:lineRule="auto"/>
            </w:pPr>
            <w:r/>
            <w:r>
              <w:rPr>
                <w:rFonts w:ascii="Liberation Sans" w:hAnsi="Liberation Sans"/>
                <w:b w:val="0"/>
                <w:sz w:val="14"/>
              </w:rPr>
              <w:t>Supply graph-risk tokens; receive structured reasons/outcomes for investigation.</w:t>
            </w:r>
          </w:p>
        </w:tc>
      </w:tr>
      <w:tr>
        <w:trPr>
          <w:cantSplit/>
        </w:trPr>
        <w:tc>
          <w:tcPr>
            <w:tcW w:type="dxa" w:w="2098"/>
            <w:vAlign w:val="center"/>
          </w:tcPr>
          <w:p>
            <w:pPr>
              <w:spacing w:after="0" w:line="240" w:lineRule="auto"/>
            </w:pPr>
            <w:r/>
            <w:r>
              <w:rPr>
                <w:rFonts w:ascii="Liberation Sans" w:hAnsi="Liberation Sans"/>
                <w:b w:val="0"/>
                <w:sz w:val="14"/>
              </w:rPr>
              <w:t>Security / compliance</w:t>
            </w:r>
          </w:p>
        </w:tc>
        <w:tc>
          <w:tcPr>
            <w:tcW w:type="dxa" w:w="3515"/>
            <w:vAlign w:val="center"/>
          </w:tcPr>
          <w:p>
            <w:pPr>
              <w:spacing w:after="0" w:line="240" w:lineRule="auto"/>
            </w:pPr>
            <w:r/>
            <w:r>
              <w:rPr>
                <w:rFonts w:ascii="Liberation Sans" w:hAnsi="Liberation Sans"/>
                <w:b w:val="0"/>
                <w:sz w:val="14"/>
              </w:rPr>
              <w:t>Control sensitive-data handling and model behavior.</w:t>
            </w:r>
          </w:p>
        </w:tc>
        <w:tc>
          <w:tcPr>
            <w:tcW w:type="dxa" w:w="4195"/>
            <w:vAlign w:val="center"/>
          </w:tcPr>
          <w:p>
            <w:pPr>
              <w:spacing w:after="0" w:line="240" w:lineRule="auto"/>
            </w:pPr>
            <w:r/>
            <w:r>
              <w:rPr>
                <w:rFonts w:ascii="Liberation Sans" w:hAnsi="Liberation Sans"/>
                <w:b w:val="0"/>
                <w:sz w:val="14"/>
              </w:rPr>
              <w:t>Enforce data minimization, auditability, signed models and explicit policy boundaries.</w:t>
            </w:r>
          </w:p>
        </w:tc>
      </w:tr>
      <w:tr>
        <w:trPr>
          <w:cantSplit/>
        </w:trPr>
        <w:tc>
          <w:tcPr>
            <w:tcW w:type="dxa" w:w="2098"/>
            <w:vAlign w:val="center"/>
          </w:tcPr>
          <w:p>
            <w:pPr>
              <w:spacing w:after="0" w:line="240" w:lineRule="auto"/>
            </w:pPr>
            <w:r/>
            <w:r>
              <w:rPr>
                <w:rFonts w:ascii="Liberation Sans" w:hAnsi="Liberation Sans"/>
                <w:b w:val="0"/>
                <w:sz w:val="14"/>
              </w:rPr>
              <w:t>Safety Circle contact</w:t>
            </w:r>
          </w:p>
        </w:tc>
        <w:tc>
          <w:tcPr>
            <w:tcW w:type="dxa" w:w="3515"/>
            <w:vAlign w:val="center"/>
          </w:tcPr>
          <w:p>
            <w:pPr>
              <w:spacing w:after="0" w:line="240" w:lineRule="auto"/>
            </w:pPr>
            <w:r/>
            <w:r>
              <w:rPr>
                <w:rFonts w:ascii="Liberation Sans" w:hAnsi="Liberation Sans"/>
                <w:b w:val="0"/>
                <w:sz w:val="14"/>
              </w:rPr>
              <w:t>Help without receiving unnecessary financial data.</w:t>
            </w:r>
          </w:p>
        </w:tc>
        <w:tc>
          <w:tcPr>
            <w:tcW w:type="dxa" w:w="4195"/>
            <w:vAlign w:val="center"/>
          </w:tcPr>
          <w:p>
            <w:pPr>
              <w:spacing w:after="0" w:line="240" w:lineRule="auto"/>
            </w:pPr>
            <w:r/>
            <w:r>
              <w:rPr>
                <w:rFonts w:ascii="Liberation Sans" w:hAnsi="Liberation Sans"/>
                <w:b w:val="0"/>
                <w:sz w:val="14"/>
              </w:rPr>
              <w:t>Receive minimal verification request only after configured escalation.</w:t>
            </w:r>
          </w:p>
        </w:tc>
      </w:tr>
    </w:tbl>
    <w:p>
      <w:pPr>
        <w:pStyle w:val="Tiny"/>
      </w:pPr>
    </w:p>
    <w:p>
      <w:pPr>
        <w:pStyle w:val="Heading2"/>
      </w:pPr>
      <w:r>
        <w:t>Primary jobs-to-be-done</w:t>
      </w:r>
    </w:p>
    <w:p>
      <w:pPr>
        <w:ind w:left="215" w:hanging="125"/>
      </w:pPr>
      <w:r>
        <w:rPr>
          <w:b/>
        </w:rPr>
        <w:t xml:space="preserve">• </w:t>
      </w:r>
      <w:r>
        <w:t>When I am making a normal payment, let me finish without security theatre.</w:t>
      </w:r>
    </w:p>
    <w:p>
      <w:pPr>
        <w:ind w:left="215" w:hanging="125"/>
      </w:pPr>
      <w:r>
        <w:rPr>
          <w:b/>
        </w:rPr>
        <w:t xml:space="preserve">• </w:t>
      </w:r>
      <w:r>
        <w:t>When I am being coached by someone during a high-risk payment, create enough separation for me to reassess independently.</w:t>
      </w:r>
    </w:p>
    <w:p>
      <w:pPr>
        <w:ind w:left="215" w:hanging="125"/>
      </w:pPr>
      <w:r>
        <w:rPr>
          <w:b/>
        </w:rPr>
        <w:t xml:space="preserve">• </w:t>
      </w:r>
      <w:r>
        <w:t>When the system is uncertain, ask the least intrusive question that can safely reduce uncertainty.</w:t>
      </w:r>
    </w:p>
    <w:p>
      <w:pPr>
        <w:ind w:left="215" w:hanging="125"/>
      </w:pPr>
      <w:r>
        <w:rPr>
          <w:b/>
        </w:rPr>
        <w:t xml:space="preserve">• </w:t>
      </w:r>
      <w:r>
        <w:t>When a recipient is linked to suspicious network behaviour, combine that evidence with my current context instead of treating either signal as sufficient alone.</w:t>
      </w:r>
    </w:p>
    <w:p>
      <w:pPr>
        <w:ind w:left="215" w:hanging="125"/>
      </w:pPr>
      <w:r>
        <w:rPr>
          <w:b/>
        </w:rPr>
        <w:t xml:space="preserve">• </w:t>
      </w:r>
      <w:r>
        <w:t>When I need a trusted person, let me choose who is contacted and what they see.</w:t>
      </w:r>
    </w:p>
    <w:p>
      <w:pPr>
        <w:ind w:left="215" w:hanging="125"/>
      </w:pPr>
      <w:r>
        <w:rPr>
          <w:b/>
        </w:rPr>
        <w:t xml:space="preserve">• </w:t>
      </w:r>
      <w:r>
        <w:t>When a bank analyst reviews an event, provide a machine-readable trace of signals, versions, risk contributions and action outcomes.</w:t>
      </w:r>
    </w:p>
    <w:p>
      <w:pPr>
        <w:pStyle w:val="Heading2"/>
      </w:pPr>
      <w:r>
        <w:t>Human factors requirement</w:t>
      </w:r>
    </w:p>
    <w:p>
      <w:r>
        <w:t>Warnings must not shame the user or imply incompetence. Scammers exploit authority and urgency; therefore Vyuha should reduce urgency rather than add more. Strong interventions use short declarative statements, a visible cooling period, and a safe explanation of why banks/police do not require a user to remain under another person’s direction while transferring money. The UI should avoid disclosing its exact detection thresholds so attackers cannot easily script around them.</w:t>
      </w:r>
    </w:p>
    <w:p>
      <w:r>
        <w:br w:type="page"/>
      </w:r>
    </w:p>
    <w:p>
      <w:pPr>
        <w:spacing w:after="0"/>
      </w:pPr>
      <w:r>
        <w:rPr>
          <w:b/>
          <w:sz w:val="15"/>
        </w:rPr>
        <w:t>USER JOURNEYS</w:t>
      </w:r>
    </w:p>
    <w:p>
      <w:pPr>
        <w:pStyle w:val="Heading1"/>
      </w:pPr>
      <w:r>
        <w:t>End-to-End Flows: Benign, Ambiguous and Coercion-High</w:t>
      </w:r>
    </w:p>
    <w:tbl>
      <w:tblPr>
        <w:tblStyle w:val="TableGrid"/>
        <w:tblW w:type="auto" w:w="0"/>
        <w:jc w:val="center"/>
        <w:tblLook w:firstColumn="1" w:firstRow="1" w:lastColumn="0" w:lastRow="0" w:noHBand="0" w:noVBand="1" w:val="04A0"/>
      </w:tblPr>
      <w:tblGrid>
        <w:gridCol w:w="3459"/>
        <w:gridCol w:w="3459"/>
        <w:gridCol w:w="3459"/>
      </w:tblGrid>
      <w:tr>
        <w:trPr>
          <w:cantSplit/>
        </w:trPr>
        <w:tc>
          <w:tcPr>
            <w:tcW w:type="dxa" w:w="1474"/>
            <w:shd w:fill="E7E6E6"/>
            <w:vAlign w:val="center"/>
          </w:tcPr>
          <w:p>
            <w:pPr>
              <w:spacing w:after="0" w:line="240" w:lineRule="auto"/>
            </w:pPr>
            <w:r/>
            <w:r>
              <w:rPr>
                <w:rFonts w:ascii="Liberation Sans" w:hAnsi="Liberation Sans"/>
                <w:b/>
                <w:sz w:val="14"/>
              </w:rPr>
              <w:t>Flow</w:t>
            </w:r>
          </w:p>
        </w:tc>
        <w:tc>
          <w:tcPr>
            <w:tcW w:type="dxa" w:w="4649"/>
            <w:shd w:fill="E7E6E6"/>
            <w:vAlign w:val="center"/>
          </w:tcPr>
          <w:p>
            <w:pPr>
              <w:spacing w:after="0" w:line="240" w:lineRule="auto"/>
            </w:pPr>
            <w:r/>
            <w:r>
              <w:rPr>
                <w:rFonts w:ascii="Liberation Sans" w:hAnsi="Liberation Sans"/>
                <w:b/>
                <w:sz w:val="14"/>
              </w:rPr>
              <w:t>Sequence</w:t>
            </w:r>
          </w:p>
        </w:tc>
        <w:tc>
          <w:tcPr>
            <w:tcW w:type="dxa" w:w="3628"/>
            <w:shd w:fill="E7E6E6"/>
            <w:vAlign w:val="center"/>
          </w:tcPr>
          <w:p>
            <w:pPr>
              <w:spacing w:after="0" w:line="240" w:lineRule="auto"/>
            </w:pPr>
            <w:r/>
            <w:r>
              <w:rPr>
                <w:rFonts w:ascii="Liberation Sans" w:hAnsi="Liberation Sans"/>
                <w:b/>
                <w:sz w:val="14"/>
              </w:rPr>
              <w:t>Expected experience</w:t>
            </w:r>
          </w:p>
        </w:tc>
      </w:tr>
      <w:tr>
        <w:trPr>
          <w:cantSplit/>
        </w:trPr>
        <w:tc>
          <w:tcPr>
            <w:tcW w:type="dxa" w:w="1474"/>
            <w:vAlign w:val="center"/>
          </w:tcPr>
          <w:p>
            <w:pPr>
              <w:spacing w:after="0" w:line="240" w:lineRule="auto"/>
            </w:pPr>
            <w:r/>
            <w:r>
              <w:rPr>
                <w:rFonts w:ascii="Liberation Sans" w:hAnsi="Liberation Sans"/>
                <w:b w:val="0"/>
                <w:sz w:val="14"/>
              </w:rPr>
              <w:t>A — Benign</w:t>
            </w:r>
          </w:p>
        </w:tc>
        <w:tc>
          <w:tcPr>
            <w:tcW w:type="dxa" w:w="4649"/>
            <w:vAlign w:val="center"/>
          </w:tcPr>
          <w:p>
            <w:pPr>
              <w:spacing w:after="0" w:line="240" w:lineRule="auto"/>
            </w:pPr>
            <w:r/>
            <w:r>
              <w:rPr>
                <w:rFonts w:ascii="Liberation Sans" w:hAnsi="Liberation Sans"/>
                <w:b w:val="0"/>
                <w:sz w:val="14"/>
              </w:rPr>
              <w:t>Known payee → normal amount → clean access-risk verdict → local baseline normal → fast path.</w:t>
            </w:r>
          </w:p>
        </w:tc>
        <w:tc>
          <w:tcPr>
            <w:tcW w:type="dxa" w:w="3628"/>
            <w:vAlign w:val="center"/>
          </w:tcPr>
          <w:p>
            <w:pPr>
              <w:spacing w:after="0" w:line="240" w:lineRule="auto"/>
            </w:pPr>
            <w:r/>
            <w:r>
              <w:rPr>
                <w:rFonts w:ascii="Liberation Sans" w:hAnsi="Liberation Sans"/>
                <w:b w:val="0"/>
                <w:sz w:val="14"/>
              </w:rPr>
              <w:t>No popup; host receives PASS + reason=LOW_RISK_FAST_PATH.</w:t>
            </w:r>
          </w:p>
        </w:tc>
      </w:tr>
      <w:tr>
        <w:trPr>
          <w:cantSplit/>
        </w:trPr>
        <w:tc>
          <w:tcPr>
            <w:tcW w:type="dxa" w:w="1474"/>
            <w:vAlign w:val="center"/>
          </w:tcPr>
          <w:p>
            <w:pPr>
              <w:spacing w:after="0" w:line="240" w:lineRule="auto"/>
            </w:pPr>
            <w:r/>
            <w:r>
              <w:rPr>
                <w:rFonts w:ascii="Liberation Sans" w:hAnsi="Liberation Sans"/>
                <w:b w:val="0"/>
                <w:sz w:val="14"/>
              </w:rPr>
              <w:t>B — Ambiguous</w:t>
            </w:r>
          </w:p>
        </w:tc>
        <w:tc>
          <w:tcPr>
            <w:tcW w:type="dxa" w:w="4649"/>
            <w:vAlign w:val="center"/>
          </w:tcPr>
          <w:p>
            <w:pPr>
              <w:spacing w:after="0" w:line="240" w:lineRule="auto"/>
            </w:pPr>
            <w:r/>
            <w:r>
              <w:rPr>
                <w:rFonts w:ascii="Liberation Sans" w:hAnsi="Liberation Sans"/>
                <w:b w:val="0"/>
                <w:sz w:val="14"/>
              </w:rPr>
              <w:t>New payee + amount deviation + active communication, but clean device state and low graph risk.</w:t>
            </w:r>
          </w:p>
        </w:tc>
        <w:tc>
          <w:tcPr>
            <w:tcW w:type="dxa" w:w="3628"/>
            <w:vAlign w:val="center"/>
          </w:tcPr>
          <w:p>
            <w:pPr>
              <w:spacing w:after="0" w:line="240" w:lineRule="auto"/>
            </w:pPr>
            <w:r/>
            <w:r>
              <w:rPr>
                <w:rFonts w:ascii="Liberation Sans" w:hAnsi="Liberation Sans"/>
                <w:b w:val="0"/>
                <w:sz w:val="14"/>
              </w:rPr>
              <w:t>One low-cost micro-inquiry or reflection step; transaction may continue immediately after confirmation.</w:t>
            </w:r>
          </w:p>
        </w:tc>
      </w:tr>
      <w:tr>
        <w:trPr>
          <w:cantSplit/>
        </w:trPr>
        <w:tc>
          <w:tcPr>
            <w:tcW w:type="dxa" w:w="1474"/>
            <w:vAlign w:val="center"/>
          </w:tcPr>
          <w:p>
            <w:pPr>
              <w:spacing w:after="0" w:line="240" w:lineRule="auto"/>
            </w:pPr>
            <w:r/>
            <w:r>
              <w:rPr>
                <w:rFonts w:ascii="Liberation Sans" w:hAnsi="Liberation Sans"/>
                <w:b w:val="0"/>
                <w:sz w:val="14"/>
              </w:rPr>
              <w:t>C — High coercion</w:t>
            </w:r>
          </w:p>
        </w:tc>
        <w:tc>
          <w:tcPr>
            <w:tcW w:type="dxa" w:w="4649"/>
            <w:vAlign w:val="center"/>
          </w:tcPr>
          <w:p>
            <w:pPr>
              <w:spacing w:after="0" w:line="240" w:lineRule="auto"/>
            </w:pPr>
            <w:r/>
            <w:r>
              <w:rPr>
                <w:rFonts w:ascii="Liberation Sans" w:hAnsi="Liberation Sans"/>
                <w:b w:val="0"/>
                <w:sz w:val="14"/>
              </w:rPr>
              <w:t>New recipient + high amount deviation + communication active + capture/control risk + elevated graph token.</w:t>
            </w:r>
          </w:p>
        </w:tc>
        <w:tc>
          <w:tcPr>
            <w:tcW w:type="dxa" w:w="3628"/>
            <w:vAlign w:val="center"/>
          </w:tcPr>
          <w:p>
            <w:pPr>
              <w:spacing w:after="0" w:line="240" w:lineRule="auto"/>
            </w:pPr>
            <w:r/>
            <w:r>
              <w:rPr>
                <w:rFonts w:ascii="Liberation Sans" w:hAnsi="Liberation Sans"/>
                <w:b w:val="0"/>
                <w:sz w:val="14"/>
              </w:rPr>
              <w:t>Isolation Break: close risky access or end synchronous control path, short cooling interval, independent confirmation; optionally Safety Circle/bank step-up.</w:t>
            </w:r>
          </w:p>
        </w:tc>
      </w:tr>
      <w:tr>
        <w:trPr>
          <w:cantSplit/>
        </w:trPr>
        <w:tc>
          <w:tcPr>
            <w:tcW w:type="dxa" w:w="1474"/>
            <w:vAlign w:val="center"/>
          </w:tcPr>
          <w:p>
            <w:pPr>
              <w:spacing w:after="0" w:line="240" w:lineRule="auto"/>
            </w:pPr>
            <w:r/>
            <w:r>
              <w:rPr>
                <w:rFonts w:ascii="Liberation Sans" w:hAnsi="Liberation Sans"/>
                <w:b w:val="0"/>
                <w:sz w:val="14"/>
              </w:rPr>
              <w:t>D — Graph unavailable</w:t>
            </w:r>
          </w:p>
        </w:tc>
        <w:tc>
          <w:tcPr>
            <w:tcW w:type="dxa" w:w="4649"/>
            <w:vAlign w:val="center"/>
          </w:tcPr>
          <w:p>
            <w:pPr>
              <w:spacing w:after="0" w:line="240" w:lineRule="auto"/>
            </w:pPr>
            <w:r/>
            <w:r>
              <w:rPr>
                <w:rFonts w:ascii="Liberation Sans" w:hAnsi="Liberation Sans"/>
                <w:b w:val="0"/>
                <w:sz w:val="14"/>
              </w:rPr>
              <w:t>Edge risk elevated, network/graph timeout.</w:t>
            </w:r>
          </w:p>
        </w:tc>
        <w:tc>
          <w:tcPr>
            <w:tcW w:type="dxa" w:w="3628"/>
            <w:vAlign w:val="center"/>
          </w:tcPr>
          <w:p>
            <w:pPr>
              <w:spacing w:after="0" w:line="240" w:lineRule="auto"/>
            </w:pPr>
            <w:r/>
            <w:r>
              <w:rPr>
                <w:rFonts w:ascii="Liberation Sans" w:hAnsi="Liberation Sans"/>
                <w:b w:val="0"/>
                <w:sz w:val="14"/>
              </w:rPr>
              <w:t>No silent downgrade. Local policy uses risk-with-missing-evidence state; medium/high local risk still triggers proportionate friction.</w:t>
            </w:r>
          </w:p>
        </w:tc>
      </w:tr>
      <w:tr>
        <w:trPr>
          <w:cantSplit/>
        </w:trPr>
        <w:tc>
          <w:tcPr>
            <w:tcW w:type="dxa" w:w="1474"/>
            <w:vAlign w:val="center"/>
          </w:tcPr>
          <w:p>
            <w:pPr>
              <w:spacing w:after="0" w:line="240" w:lineRule="auto"/>
            </w:pPr>
            <w:r/>
            <w:r>
              <w:rPr>
                <w:rFonts w:ascii="Liberation Sans" w:hAnsi="Liberation Sans"/>
                <w:b w:val="0"/>
                <w:sz w:val="14"/>
              </w:rPr>
              <w:t>E — Accessibility</w:t>
            </w:r>
          </w:p>
        </w:tc>
        <w:tc>
          <w:tcPr>
            <w:tcW w:type="dxa" w:w="4649"/>
            <w:vAlign w:val="center"/>
          </w:tcPr>
          <w:p>
            <w:pPr>
              <w:spacing w:after="0" w:line="240" w:lineRule="auto"/>
            </w:pPr>
            <w:r/>
            <w:r>
              <w:rPr>
                <w:rFonts w:ascii="Liberation Sans" w:hAnsi="Liberation Sans"/>
                <w:b w:val="0"/>
                <w:sz w:val="14"/>
              </w:rPr>
              <w:t>Verified accessibility service present and excluded by Play Integrity app-access-risk semantics.</w:t>
            </w:r>
          </w:p>
        </w:tc>
        <w:tc>
          <w:tcPr>
            <w:tcW w:type="dxa" w:w="3628"/>
            <w:vAlign w:val="center"/>
          </w:tcPr>
          <w:p>
            <w:pPr>
              <w:spacing w:after="0" w:line="240" w:lineRule="auto"/>
            </w:pPr>
            <w:r/>
            <w:r>
              <w:rPr>
                <w:rFonts w:ascii="Liberation Sans" w:hAnsi="Liberation Sans"/>
                <w:b w:val="0"/>
                <w:sz w:val="14"/>
              </w:rPr>
              <w:t>Do not penalise solely for accessibility; use remaining evidence and accessible native UX.</w:t>
            </w:r>
          </w:p>
        </w:tc>
      </w:tr>
    </w:tbl>
    <w:p>
      <w:pPr>
        <w:pStyle w:val="Tiny"/>
      </w:pPr>
    </w:p>
    <w:p>
      <w:pPr>
        <w:jc w:val="center"/>
      </w:pPr>
      <w:r>
        <w:drawing>
          <wp:inline xmlns:a="http://schemas.openxmlformats.org/drawingml/2006/main" xmlns:pic="http://schemas.openxmlformats.org/drawingml/2006/picture">
            <wp:extent cx="6048000" cy="3237502"/>
            <wp:docPr id="2" name="Picture 2"/>
            <wp:cNvGraphicFramePr>
              <a:graphicFrameLocks noChangeAspect="1"/>
            </wp:cNvGraphicFramePr>
            <a:graphic>
              <a:graphicData uri="http://schemas.openxmlformats.org/drawingml/2006/picture">
                <pic:pic>
                  <pic:nvPicPr>
                    <pic:cNvPr id="0" name="decision_flow.png"/>
                    <pic:cNvPicPr/>
                  </pic:nvPicPr>
                  <pic:blipFill>
                    <a:blip r:embed="rId12"/>
                    <a:stretch>
                      <a:fillRect/>
                    </a:stretch>
                  </pic:blipFill>
                  <pic:spPr>
                    <a:xfrm>
                      <a:off x="0" y="0"/>
                      <a:ext cx="6048000" cy="3237502"/>
                    </a:xfrm>
                    <a:prstGeom prst="rect"/>
                  </pic:spPr>
                </pic:pic>
              </a:graphicData>
            </a:graphic>
          </wp:inline>
        </w:drawing>
      </w:r>
    </w:p>
    <w:p>
      <w:pPr>
        <w:pStyle w:val="Caption"/>
        <w:jc w:val="center"/>
      </w:pPr>
      <w:r>
        <w:t>Figure 2. Runtime decision flow. “Local first” means the edge plane can decide without waiting for a remote model.</w:t>
      </w:r>
    </w:p>
    <w:p>
      <w:pPr>
        <w:pStyle w:val="Heading2"/>
      </w:pPr>
      <w:r>
        <w:t>User-control contract</w:t>
      </w:r>
    </w:p>
    <w:p>
      <w:r>
        <w:t>The SDK returns recommended risk and action, while the participating host owns final transaction enforcement according to regulated policy. For the prototype, the host simulator implements pass, micro-inquiry, reflection, isolation-break, trusted verification and cancel/continue. For production, an institution may map Vyuha actions to its own step-up authentication, cooling period, fraud desk or transaction hold mechanisms. The SDK must never spoof a bank/police authority identity or present itself as law enforcement.</w:t>
      </w:r>
    </w:p>
    <w:p>
      <w:r>
        <w:br w:type="page"/>
      </w:r>
    </w:p>
    <w:p>
      <w:pPr>
        <w:spacing w:after="0"/>
      </w:pPr>
      <w:r>
        <w:rPr>
          <w:b/>
          <w:sz w:val="15"/>
        </w:rPr>
        <w:t>SYSTEM ARCHITECTURE</w:t>
      </w:r>
    </w:p>
    <w:p>
      <w:pPr>
        <w:pStyle w:val="Heading1"/>
      </w:pPr>
      <w:r>
        <w:t>Three-Plane Architecture and Trust Boundaries</w:t>
      </w:r>
    </w:p>
    <w:p>
      <w:pPr>
        <w:jc w:val="center"/>
      </w:pPr>
      <w:r>
        <w:drawing>
          <wp:inline xmlns:a="http://schemas.openxmlformats.org/drawingml/2006/main" xmlns:pic="http://schemas.openxmlformats.org/drawingml/2006/picture">
            <wp:extent cx="6120000" cy="3138342"/>
            <wp:docPr id="3" name="Picture 3"/>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6120000" cy="3138342"/>
                    </a:xfrm>
                    <a:prstGeom prst="rect"/>
                  </pic:spPr>
                </pic:pic>
              </a:graphicData>
            </a:graphic>
          </wp:inline>
        </w:drawing>
      </w:r>
    </w:p>
    <w:p>
      <w:pPr>
        <w:pStyle w:val="Caption"/>
        <w:jc w:val="center"/>
      </w:pPr>
      <w:r>
        <w:t>Figure 3. Vyuha 2.0 architecture. Only the first plane is on-device; graph intelligence remains where relationship data exists.</w:t>
      </w:r>
    </w:p>
    <w:p>
      <w:pPr>
        <w:pStyle w:val="Heading2"/>
      </w:pPr>
      <w:r>
        <w:t>Plane A — Edge Agency Runtime</w:t>
      </w:r>
    </w:p>
    <w:p>
      <w:r>
        <w:t>A lightweight SDK/library embedded in a participating banking/UPI app. It receives host transaction context, coarse device/session signals, local behavioural baseline features and optional graph-risk tokens. It executes the sparse Risk-MoE, belief-state update, uncertainty gate and intervention policy locally. The production runtime should be portable to ExecuTorch/LiteRT or an equivalent signed on-device runtime. [EXT; Refs. 27–28]</w:t>
      </w:r>
    </w:p>
    <w:p>
      <w:pPr>
        <w:pStyle w:val="Heading2"/>
      </w:pPr>
      <w:r>
        <w:t>Plane B — Institutional Graph Intelligence</w:t>
      </w:r>
    </w:p>
    <w:p>
      <w:r>
        <w:t>A bank/PSP-side service maintains a dynamic heterogeneous graph over entities available to that institution. The ST-GNN produces beneficiary/network risk and compact structural explanations. The edge device receives only a signed, short-lived risk token rather than the graph itself. This corrects the original “local ST-GNN” claim: a handset generally lacks the cross-account topology required for mule-ring inference.</w:t>
      </w:r>
    </w:p>
    <w:p>
      <w:pPr>
        <w:pStyle w:val="Heading2"/>
      </w:pPr>
      <w:r>
        <w:t>Plane C — Policy, Simulation and Learning</w:t>
      </w:r>
    </w:p>
    <w:p>
      <w:r>
        <w:t>Offline training uses labelled/synthetic interaction trajectories, graph snapshots and a multi-agent scam digital twin. A conservative contextual bandit learns among a fixed action catalogue, with safety constraints and no live exploratory weakening of controls. Production outcomes are logged for later offline evaluation and retraining after governance approval. [EXT; Refs. 23–24]</w:t>
      </w:r>
    </w:p>
    <w:tbl>
      <w:tblPr>
        <w:tblStyle w:val="TableGrid"/>
        <w:tblW w:type="auto" w:w="0"/>
        <w:jc w:val="center"/>
        <w:tblLook w:firstColumn="1" w:firstRow="1" w:lastColumn="0" w:lastRow="0" w:noHBand="0" w:noVBand="1" w:val="04A0"/>
      </w:tblPr>
      <w:tblGrid>
        <w:gridCol w:w="10376"/>
      </w:tblGrid>
      <w:tr>
        <w:trPr>
          <w:cantSplit/>
        </w:trPr>
        <w:tc>
          <w:tcPr>
            <w:tcW w:type="dxa" w:w="10376"/>
            <w:shd w:fill="F2F2F2"/>
            <w:vAlign w:val="center"/>
          </w:tcPr>
          <w:p>
            <w:pPr>
              <w:spacing w:after="20"/>
            </w:pPr>
            <w:r/>
            <w:r>
              <w:rPr>
                <w:rFonts w:ascii="Liberation Sans" w:hAnsi="Liberation Sans"/>
                <w:b/>
                <w:sz w:val="17"/>
              </w:rPr>
              <w:t xml:space="preserve">Architectural invariant — </w:t>
            </w:r>
            <w:r>
              <w:rPr>
                <w:rFonts w:ascii="Liberation Sans" w:hAnsi="Liberation Sans"/>
                <w:sz w:val="17"/>
              </w:rPr>
              <w:t>No remote generative model is required to approve or block a payment. Generative agents may be used for simulation, analyst summaries or offline scenario generation, but the critical runtime path is small-model + deterministic-policy infrastructure.</w:t>
            </w:r>
          </w:p>
        </w:tc>
      </w:tr>
    </w:tbl>
    <w:p>
      <w:pPr>
        <w:pStyle w:val="Tiny"/>
      </w:pPr>
    </w:p>
    <w:p>
      <w:r>
        <w:br w:type="page"/>
      </w:r>
    </w:p>
    <w:p>
      <w:pPr>
        <w:spacing w:after="0"/>
      </w:pPr>
      <w:r>
        <w:rPr>
          <w:b/>
          <w:sz w:val="15"/>
        </w:rPr>
        <w:t>OFFLINE-FIRST</w:t>
      </w:r>
    </w:p>
    <w:p>
      <w:pPr>
        <w:pStyle w:val="Heading1"/>
      </w:pPr>
      <w:r>
        <w:t>Connectivity Model, Degradation Logic and Local State</w:t>
      </w:r>
    </w:p>
    <w:p>
      <w:r>
        <w:t>“Offline-first” in Vyuha means that the safety-critical payer-side inference path has no dependency on cloud inference. It does not mean that a national mule graph can be reconstructed on a phone. Online institutional intelligence is an augmentation layer. This distinction is essential for both privacy and feasibility.</w:t>
      </w:r>
    </w:p>
    <w:tbl>
      <w:tblPr>
        <w:tblStyle w:val="TableGrid"/>
        <w:tblW w:type="auto" w:w="0"/>
        <w:jc w:val="center"/>
        <w:tblLook w:firstColumn="1" w:firstRow="1" w:lastColumn="0" w:lastRow="0" w:noHBand="0" w:noVBand="1" w:val="04A0"/>
      </w:tblPr>
      <w:tblGrid>
        <w:gridCol w:w="3459"/>
        <w:gridCol w:w="3459"/>
        <w:gridCol w:w="3459"/>
      </w:tblGrid>
      <w:tr>
        <w:trPr>
          <w:cantSplit/>
        </w:trPr>
        <w:tc>
          <w:tcPr>
            <w:tcW w:type="dxa" w:w="1871"/>
            <w:shd w:fill="E7E6E6"/>
            <w:vAlign w:val="center"/>
          </w:tcPr>
          <w:p>
            <w:pPr>
              <w:spacing w:after="0" w:line="240" w:lineRule="auto"/>
            </w:pPr>
            <w:r/>
            <w:r>
              <w:rPr>
                <w:rFonts w:ascii="Liberation Sans" w:hAnsi="Liberation Sans"/>
                <w:b/>
                <w:sz w:val="15"/>
              </w:rPr>
              <w:t>Capability</w:t>
            </w:r>
          </w:p>
        </w:tc>
        <w:tc>
          <w:tcPr>
            <w:tcW w:type="dxa" w:w="3912"/>
            <w:shd w:fill="E7E6E6"/>
            <w:vAlign w:val="center"/>
          </w:tcPr>
          <w:p>
            <w:pPr>
              <w:spacing w:after="0" w:line="240" w:lineRule="auto"/>
            </w:pPr>
            <w:r/>
            <w:r>
              <w:rPr>
                <w:rFonts w:ascii="Liberation Sans" w:hAnsi="Liberation Sans"/>
                <w:b/>
                <w:sz w:val="15"/>
              </w:rPr>
              <w:t>Online mode</w:t>
            </w:r>
          </w:p>
        </w:tc>
        <w:tc>
          <w:tcPr>
            <w:tcW w:type="dxa" w:w="4025"/>
            <w:shd w:fill="E7E6E6"/>
            <w:vAlign w:val="center"/>
          </w:tcPr>
          <w:p>
            <w:pPr>
              <w:spacing w:after="0" w:line="240" w:lineRule="auto"/>
            </w:pPr>
            <w:r/>
            <w:r>
              <w:rPr>
                <w:rFonts w:ascii="Liberation Sans" w:hAnsi="Liberation Sans"/>
                <w:b/>
                <w:sz w:val="15"/>
              </w:rPr>
              <w:t>Graph/service unavailable</w:t>
            </w:r>
          </w:p>
        </w:tc>
      </w:tr>
      <w:tr>
        <w:trPr>
          <w:cantSplit/>
        </w:trPr>
        <w:tc>
          <w:tcPr>
            <w:tcW w:type="dxa" w:w="1871"/>
            <w:vAlign w:val="center"/>
          </w:tcPr>
          <w:p>
            <w:pPr>
              <w:spacing w:after="0" w:line="240" w:lineRule="auto"/>
            </w:pPr>
            <w:r/>
            <w:r>
              <w:rPr>
                <w:rFonts w:ascii="Liberation Sans" w:hAnsi="Liberation Sans"/>
                <w:b w:val="0"/>
                <w:sz w:val="15"/>
              </w:rPr>
              <w:t>Edge Risk-MoE</w:t>
            </w:r>
          </w:p>
        </w:tc>
        <w:tc>
          <w:tcPr>
            <w:tcW w:type="dxa" w:w="3912"/>
            <w:vAlign w:val="center"/>
          </w:tcPr>
          <w:p>
            <w:pPr>
              <w:spacing w:after="0" w:line="240" w:lineRule="auto"/>
            </w:pPr>
            <w:r/>
            <w:r>
              <w:rPr>
                <w:rFonts w:ascii="Liberation Sans" w:hAnsi="Liberation Sans"/>
                <w:b w:val="0"/>
                <w:sz w:val="15"/>
              </w:rPr>
              <w:t>Runs locally.</w:t>
            </w:r>
          </w:p>
        </w:tc>
        <w:tc>
          <w:tcPr>
            <w:tcW w:type="dxa" w:w="4025"/>
            <w:vAlign w:val="center"/>
          </w:tcPr>
          <w:p>
            <w:pPr>
              <w:spacing w:after="0" w:line="240" w:lineRule="auto"/>
            </w:pPr>
            <w:r/>
            <w:r>
              <w:rPr>
                <w:rFonts w:ascii="Liberation Sans" w:hAnsi="Liberation Sans"/>
                <w:b w:val="0"/>
                <w:sz w:val="15"/>
              </w:rPr>
              <w:t>Runs locally unchanged.</w:t>
            </w:r>
          </w:p>
        </w:tc>
      </w:tr>
      <w:tr>
        <w:trPr>
          <w:cantSplit/>
        </w:trPr>
        <w:tc>
          <w:tcPr>
            <w:tcW w:type="dxa" w:w="1871"/>
            <w:vAlign w:val="center"/>
          </w:tcPr>
          <w:p>
            <w:pPr>
              <w:spacing w:after="0" w:line="240" w:lineRule="auto"/>
            </w:pPr>
            <w:r/>
            <w:r>
              <w:rPr>
                <w:rFonts w:ascii="Liberation Sans" w:hAnsi="Liberation Sans"/>
                <w:b w:val="0"/>
                <w:sz w:val="15"/>
              </w:rPr>
              <w:t>Belief-state update</w:t>
            </w:r>
          </w:p>
        </w:tc>
        <w:tc>
          <w:tcPr>
            <w:tcW w:type="dxa" w:w="3912"/>
            <w:vAlign w:val="center"/>
          </w:tcPr>
          <w:p>
            <w:pPr>
              <w:spacing w:after="0" w:line="240" w:lineRule="auto"/>
            </w:pPr>
            <w:r/>
            <w:r>
              <w:rPr>
                <w:rFonts w:ascii="Liberation Sans" w:hAnsi="Liberation Sans"/>
                <w:b w:val="0"/>
                <w:sz w:val="15"/>
              </w:rPr>
              <w:t>Uses local + signed graph token.</w:t>
            </w:r>
          </w:p>
        </w:tc>
        <w:tc>
          <w:tcPr>
            <w:tcW w:type="dxa" w:w="4025"/>
            <w:vAlign w:val="center"/>
          </w:tcPr>
          <w:p>
            <w:pPr>
              <w:spacing w:after="0" w:line="240" w:lineRule="auto"/>
            </w:pPr>
            <w:r/>
            <w:r>
              <w:rPr>
                <w:rFonts w:ascii="Liberation Sans" w:hAnsi="Liberation Sans"/>
                <w:b w:val="0"/>
                <w:sz w:val="15"/>
              </w:rPr>
              <w:t>Uses local signals + explicit MISSING_GRAPH indicator.</w:t>
            </w:r>
          </w:p>
        </w:tc>
      </w:tr>
      <w:tr>
        <w:trPr>
          <w:cantSplit/>
        </w:trPr>
        <w:tc>
          <w:tcPr>
            <w:tcW w:type="dxa" w:w="1871"/>
            <w:vAlign w:val="center"/>
          </w:tcPr>
          <w:p>
            <w:pPr>
              <w:spacing w:after="0" w:line="240" w:lineRule="auto"/>
            </w:pPr>
            <w:r/>
            <w:r>
              <w:rPr>
                <w:rFonts w:ascii="Liberation Sans" w:hAnsi="Liberation Sans"/>
                <w:b w:val="0"/>
                <w:sz w:val="15"/>
              </w:rPr>
              <w:t>Beneficiary risk</w:t>
            </w:r>
          </w:p>
        </w:tc>
        <w:tc>
          <w:tcPr>
            <w:tcW w:type="dxa" w:w="3912"/>
            <w:vAlign w:val="center"/>
          </w:tcPr>
          <w:p>
            <w:pPr>
              <w:spacing w:after="0" w:line="240" w:lineRule="auto"/>
            </w:pPr>
            <w:r/>
            <w:r>
              <w:rPr>
                <w:rFonts w:ascii="Liberation Sans" w:hAnsi="Liberation Sans"/>
                <w:b w:val="0"/>
                <w:sz w:val="15"/>
              </w:rPr>
              <w:t>Fresh institutional token.</w:t>
            </w:r>
          </w:p>
        </w:tc>
        <w:tc>
          <w:tcPr>
            <w:tcW w:type="dxa" w:w="4025"/>
            <w:vAlign w:val="center"/>
          </w:tcPr>
          <w:p>
            <w:pPr>
              <w:spacing w:after="0" w:line="240" w:lineRule="auto"/>
            </w:pPr>
            <w:r/>
            <w:r>
              <w:rPr>
                <w:rFonts w:ascii="Liberation Sans" w:hAnsi="Liberation Sans"/>
                <w:b w:val="0"/>
                <w:sz w:val="15"/>
              </w:rPr>
              <w:t>Use unexpired cached token when policy allows; otherwise UNKNOWN, never assumed safe.</w:t>
            </w:r>
          </w:p>
        </w:tc>
      </w:tr>
      <w:tr>
        <w:trPr>
          <w:cantSplit/>
        </w:trPr>
        <w:tc>
          <w:tcPr>
            <w:tcW w:type="dxa" w:w="1871"/>
            <w:vAlign w:val="center"/>
          </w:tcPr>
          <w:p>
            <w:pPr>
              <w:spacing w:after="0" w:line="240" w:lineRule="auto"/>
            </w:pPr>
            <w:r/>
            <w:r>
              <w:rPr>
                <w:rFonts w:ascii="Liberation Sans" w:hAnsi="Liberation Sans"/>
                <w:b w:val="0"/>
                <w:sz w:val="15"/>
              </w:rPr>
              <w:t>Intervention policy</w:t>
            </w:r>
          </w:p>
        </w:tc>
        <w:tc>
          <w:tcPr>
            <w:tcW w:type="dxa" w:w="3912"/>
            <w:vAlign w:val="center"/>
          </w:tcPr>
          <w:p>
            <w:pPr>
              <w:spacing w:after="0" w:line="240" w:lineRule="auto"/>
            </w:pPr>
            <w:r/>
            <w:r>
              <w:rPr>
                <w:rFonts w:ascii="Liberation Sans" w:hAnsi="Liberation Sans"/>
                <w:b w:val="0"/>
                <w:sz w:val="15"/>
              </w:rPr>
              <w:t>Local policy consumes full context.</w:t>
            </w:r>
          </w:p>
        </w:tc>
        <w:tc>
          <w:tcPr>
            <w:tcW w:type="dxa" w:w="4025"/>
            <w:vAlign w:val="center"/>
          </w:tcPr>
          <w:p>
            <w:pPr>
              <w:spacing w:after="0" w:line="240" w:lineRule="auto"/>
            </w:pPr>
            <w:r/>
            <w:r>
              <w:rPr>
                <w:rFonts w:ascii="Liberation Sans" w:hAnsi="Liberation Sans"/>
                <w:b w:val="0"/>
                <w:sz w:val="15"/>
              </w:rPr>
              <w:t>Local policy consumes degraded context and may choose conservative low/medium friction.</w:t>
            </w:r>
          </w:p>
        </w:tc>
      </w:tr>
      <w:tr>
        <w:trPr>
          <w:cantSplit/>
        </w:trPr>
        <w:tc>
          <w:tcPr>
            <w:tcW w:type="dxa" w:w="1871"/>
            <w:vAlign w:val="center"/>
          </w:tcPr>
          <w:p>
            <w:pPr>
              <w:spacing w:after="0" w:line="240" w:lineRule="auto"/>
            </w:pPr>
            <w:r/>
            <w:r>
              <w:rPr>
                <w:rFonts w:ascii="Liberation Sans" w:hAnsi="Liberation Sans"/>
                <w:b w:val="0"/>
                <w:sz w:val="15"/>
              </w:rPr>
              <w:t>Safety Circle</w:t>
            </w:r>
          </w:p>
        </w:tc>
        <w:tc>
          <w:tcPr>
            <w:tcW w:type="dxa" w:w="3912"/>
            <w:vAlign w:val="center"/>
          </w:tcPr>
          <w:p>
            <w:pPr>
              <w:spacing w:after="0" w:line="240" w:lineRule="auto"/>
            </w:pPr>
            <w:r/>
            <w:r>
              <w:rPr>
                <w:rFonts w:ascii="Liberation Sans" w:hAnsi="Liberation Sans"/>
                <w:b w:val="0"/>
                <w:sz w:val="15"/>
              </w:rPr>
              <w:t>Push/data channel.</w:t>
            </w:r>
          </w:p>
        </w:tc>
        <w:tc>
          <w:tcPr>
            <w:tcW w:type="dxa" w:w="4025"/>
            <w:vAlign w:val="center"/>
          </w:tcPr>
          <w:p>
            <w:pPr>
              <w:spacing w:after="0" w:line="240" w:lineRule="auto"/>
            </w:pPr>
            <w:r/>
            <w:r>
              <w:rPr>
                <w:rFonts w:ascii="Liberation Sans" w:hAnsi="Liberation Sans"/>
                <w:b w:val="0"/>
                <w:sz w:val="15"/>
              </w:rPr>
              <w:t>Queue; optionally host-provided SMS/call fallback where legally/product-approved.</w:t>
            </w:r>
          </w:p>
        </w:tc>
      </w:tr>
      <w:tr>
        <w:trPr>
          <w:cantSplit/>
        </w:trPr>
        <w:tc>
          <w:tcPr>
            <w:tcW w:type="dxa" w:w="1871"/>
            <w:vAlign w:val="center"/>
          </w:tcPr>
          <w:p>
            <w:pPr>
              <w:spacing w:after="0" w:line="240" w:lineRule="auto"/>
            </w:pPr>
            <w:r/>
            <w:r>
              <w:rPr>
                <w:rFonts w:ascii="Liberation Sans" w:hAnsi="Liberation Sans"/>
                <w:b w:val="0"/>
                <w:sz w:val="15"/>
              </w:rPr>
              <w:t>Model updates</w:t>
            </w:r>
          </w:p>
        </w:tc>
        <w:tc>
          <w:tcPr>
            <w:tcW w:type="dxa" w:w="3912"/>
            <w:vAlign w:val="center"/>
          </w:tcPr>
          <w:p>
            <w:pPr>
              <w:spacing w:after="0" w:line="240" w:lineRule="auto"/>
            </w:pPr>
            <w:r/>
            <w:r>
              <w:rPr>
                <w:rFonts w:ascii="Liberation Sans" w:hAnsi="Liberation Sans"/>
                <w:b w:val="0"/>
                <w:sz w:val="15"/>
              </w:rPr>
              <w:t>Download signed bundles.</w:t>
            </w:r>
          </w:p>
        </w:tc>
        <w:tc>
          <w:tcPr>
            <w:tcW w:type="dxa" w:w="4025"/>
            <w:vAlign w:val="center"/>
          </w:tcPr>
          <w:p>
            <w:pPr>
              <w:spacing w:after="0" w:line="240" w:lineRule="auto"/>
            </w:pPr>
            <w:r/>
            <w:r>
              <w:rPr>
                <w:rFonts w:ascii="Liberation Sans" w:hAnsi="Liberation Sans"/>
                <w:b w:val="0"/>
                <w:sz w:val="15"/>
              </w:rPr>
              <w:t>Continue last-known-good bundle.</w:t>
            </w:r>
          </w:p>
        </w:tc>
      </w:tr>
      <w:tr>
        <w:trPr>
          <w:cantSplit/>
        </w:trPr>
        <w:tc>
          <w:tcPr>
            <w:tcW w:type="dxa" w:w="1871"/>
            <w:vAlign w:val="center"/>
          </w:tcPr>
          <w:p>
            <w:pPr>
              <w:spacing w:after="0" w:line="240" w:lineRule="auto"/>
            </w:pPr>
            <w:r/>
            <w:r>
              <w:rPr>
                <w:rFonts w:ascii="Liberation Sans" w:hAnsi="Liberation Sans"/>
                <w:b w:val="0"/>
                <w:sz w:val="15"/>
              </w:rPr>
              <w:t>Audit upload</w:t>
            </w:r>
          </w:p>
        </w:tc>
        <w:tc>
          <w:tcPr>
            <w:tcW w:type="dxa" w:w="3912"/>
            <w:vAlign w:val="center"/>
          </w:tcPr>
          <w:p>
            <w:pPr>
              <w:spacing w:after="0" w:line="240" w:lineRule="auto"/>
            </w:pPr>
            <w:r/>
            <w:r>
              <w:rPr>
                <w:rFonts w:ascii="Liberation Sans" w:hAnsi="Liberation Sans"/>
                <w:b w:val="0"/>
                <w:sz w:val="15"/>
              </w:rPr>
              <w:t>Asynchronous.</w:t>
            </w:r>
          </w:p>
        </w:tc>
        <w:tc>
          <w:tcPr>
            <w:tcW w:type="dxa" w:w="4025"/>
            <w:vAlign w:val="center"/>
          </w:tcPr>
          <w:p>
            <w:pPr>
              <w:spacing w:after="0" w:line="240" w:lineRule="auto"/>
            </w:pPr>
            <w:r/>
            <w:r>
              <w:rPr>
                <w:rFonts w:ascii="Liberation Sans" w:hAnsi="Liberation Sans"/>
                <w:b w:val="0"/>
                <w:sz w:val="15"/>
              </w:rPr>
              <w:t>Queue encrypted event summary until connectivity returns.</w:t>
            </w:r>
          </w:p>
        </w:tc>
      </w:tr>
    </w:tbl>
    <w:p>
      <w:pPr>
        <w:pStyle w:val="Tiny"/>
      </w:pPr>
    </w:p>
    <w:p>
      <w:pPr>
        <w:pStyle w:val="Heading2"/>
      </w:pPr>
      <w:r>
        <w:t>Local state</w:t>
      </w:r>
    </w:p>
    <w:p>
      <w:pPr>
        <w:ind w:left="215" w:hanging="125"/>
      </w:pPr>
      <w:r>
        <w:rPr>
          <w:b/>
        </w:rPr>
        <w:t xml:space="preserve">• </w:t>
      </w:r>
      <w:r>
        <w:t>Session state: transaction ID, start time, recipient pseudonymous identifier, amount bucket, payment rail, current OODA phase.</w:t>
      </w:r>
    </w:p>
    <w:p>
      <w:pPr>
        <w:ind w:left="215" w:hanging="125"/>
      </w:pPr>
      <w:r>
        <w:rPr>
          <w:b/>
        </w:rPr>
        <w:t xml:space="preserve">• </w:t>
      </w:r>
      <w:r>
        <w:t>Local baseline: quantiles/embeddings for typical amount, beneficiary novelty, time-of-day and recent payment patterns; production design should minimise retention and use host-provided features where possible.</w:t>
      </w:r>
    </w:p>
    <w:p>
      <w:pPr>
        <w:ind w:left="215" w:hanging="125"/>
      </w:pPr>
      <w:r>
        <w:rPr>
          <w:b/>
        </w:rPr>
        <w:t xml:space="preserve">• </w:t>
      </w:r>
      <w:r>
        <w:t>Belief state: compact scalar/vector summarising current probability/confidence of coercion and missing-data masks.</w:t>
      </w:r>
    </w:p>
    <w:p>
      <w:pPr>
        <w:ind w:left="215" w:hanging="125"/>
      </w:pPr>
      <w:r>
        <w:rPr>
          <w:b/>
        </w:rPr>
        <w:t xml:space="preserve">• </w:t>
      </w:r>
      <w:r>
        <w:t>Model/config manifest: signed version, hash, calibration set version, policy version, minimum supported host SDK.</w:t>
      </w:r>
    </w:p>
    <w:p>
      <w:pPr>
        <w:ind w:left="215" w:hanging="125"/>
      </w:pPr>
      <w:r>
        <w:rPr>
          <w:b/>
        </w:rPr>
        <w:t xml:space="preserve">• </w:t>
      </w:r>
      <w:r>
        <w:t>Optional cache: signed recipient risk token with TTL, issuer and nonce binding; never a raw graph extract.</w:t>
      </w:r>
    </w:p>
    <w:tbl>
      <w:tblPr>
        <w:tblStyle w:val="TableGrid"/>
        <w:tblW w:type="auto" w:w="0"/>
        <w:jc w:val="center"/>
        <w:tblLook w:firstColumn="1" w:firstRow="1" w:lastColumn="0" w:lastRow="0" w:noHBand="0" w:noVBand="1" w:val="04A0"/>
      </w:tblPr>
      <w:tblGrid>
        <w:gridCol w:w="10376"/>
      </w:tblGrid>
      <w:tr>
        <w:trPr>
          <w:cantSplit/>
        </w:trPr>
        <w:tc>
          <w:tcPr>
            <w:tcW w:type="dxa" w:w="10376"/>
            <w:shd w:fill="F2F2F2"/>
            <w:vAlign w:val="center"/>
          </w:tcPr>
          <w:p>
            <w:pPr>
              <w:spacing w:after="20"/>
            </w:pPr>
            <w:r/>
            <w:r>
              <w:rPr>
                <w:rFonts w:ascii="Liberation Sans" w:hAnsi="Liberation Sans"/>
                <w:b/>
                <w:sz w:val="17"/>
              </w:rPr>
              <w:t xml:space="preserve">Fail-safe principle — </w:t>
            </w:r>
            <w:r>
              <w:rPr>
                <w:rFonts w:ascii="Liberation Sans" w:hAnsi="Liberation Sans"/>
                <w:sz w:val="17"/>
              </w:rPr>
              <w:t>Service failure must not become “risk = zero.” Missing evidence is represented explicitly and influences uncertainty. Conversely, missing graph data alone must not hard-block a legitimate payment.</w:t>
            </w:r>
          </w:p>
        </w:tc>
      </w:tr>
    </w:tbl>
    <w:p>
      <w:pPr>
        <w:pStyle w:val="Tiny"/>
      </w:pPr>
    </w:p>
    <w:p>
      <w:r>
        <w:br w:type="page"/>
      </w:r>
    </w:p>
    <w:p>
      <w:pPr>
        <w:spacing w:after="0"/>
      </w:pPr>
      <w:r>
        <w:rPr>
          <w:b/>
          <w:sz w:val="15"/>
        </w:rPr>
        <w:t>EDGE SENSING</w:t>
      </w:r>
    </w:p>
    <w:p>
      <w:pPr>
        <w:pStyle w:val="Heading1"/>
      </w:pPr>
      <w:r>
        <w:t>Signal Interface and Privacy-Minimal Feature Engineering</w:t>
      </w:r>
    </w:p>
    <w:p>
      <w:r>
        <w:t>The edge model is only as defensible as its signal contract. Vyuha should request signals that are technically obtainable inside the host application, interpretable, minimally invasive and useful in combination. It should avoid covert cross-app surveillance.</w:t>
      </w:r>
    </w:p>
    <w:tbl>
      <w:tblPr>
        <w:tblStyle w:val="TableGrid"/>
        <w:tblW w:type="auto" w:w="0"/>
        <w:jc w:val="center"/>
        <w:tblLook w:firstColumn="1" w:firstRow="1" w:lastColumn="0" w:lastRow="0" w:noHBand="0" w:noVBand="1" w:val="04A0"/>
      </w:tblPr>
      <w:tblGrid>
        <w:gridCol w:w="3459"/>
        <w:gridCol w:w="3459"/>
        <w:gridCol w:w="3459"/>
      </w:tblGrid>
      <w:tr>
        <w:trPr>
          <w:cantSplit/>
        </w:trPr>
        <w:tc>
          <w:tcPr>
            <w:tcW w:type="dxa" w:w="1701"/>
            <w:shd w:fill="E7E6E6"/>
            <w:vAlign w:val="center"/>
          </w:tcPr>
          <w:p>
            <w:pPr>
              <w:spacing w:after="0" w:line="240" w:lineRule="auto"/>
            </w:pPr>
            <w:r/>
            <w:r>
              <w:rPr>
                <w:rFonts w:ascii="Liberation Sans" w:hAnsi="Liberation Sans"/>
                <w:b/>
                <w:sz w:val="14"/>
              </w:rPr>
              <w:t>Signal family</w:t>
            </w:r>
          </w:p>
        </w:tc>
        <w:tc>
          <w:tcPr>
            <w:tcW w:type="dxa" w:w="2948"/>
            <w:shd w:fill="E7E6E6"/>
            <w:vAlign w:val="center"/>
          </w:tcPr>
          <w:p>
            <w:pPr>
              <w:spacing w:after="0" w:line="240" w:lineRule="auto"/>
            </w:pPr>
            <w:r/>
            <w:r>
              <w:rPr>
                <w:rFonts w:ascii="Liberation Sans" w:hAnsi="Liberation Sans"/>
                <w:b/>
                <w:sz w:val="14"/>
              </w:rPr>
              <w:t>Example feature</w:t>
            </w:r>
          </w:p>
        </w:tc>
        <w:tc>
          <w:tcPr>
            <w:tcW w:type="dxa" w:w="5159"/>
            <w:shd w:fill="E7E6E6"/>
            <w:vAlign w:val="center"/>
          </w:tcPr>
          <w:p>
            <w:pPr>
              <w:spacing w:after="0" w:line="240" w:lineRule="auto"/>
            </w:pPr>
            <w:r/>
            <w:r>
              <w:rPr>
                <w:rFonts w:ascii="Liberation Sans" w:hAnsi="Liberation Sans"/>
                <w:b/>
                <w:sz w:val="14"/>
              </w:rPr>
              <w:t>Acquisition / note</w:t>
            </w:r>
          </w:p>
        </w:tc>
      </w:tr>
      <w:tr>
        <w:trPr>
          <w:cantSplit/>
        </w:trPr>
        <w:tc>
          <w:tcPr>
            <w:tcW w:type="dxa" w:w="1701"/>
            <w:vAlign w:val="center"/>
          </w:tcPr>
          <w:p>
            <w:pPr>
              <w:spacing w:after="0" w:line="240" w:lineRule="auto"/>
            </w:pPr>
            <w:r/>
            <w:r>
              <w:rPr>
                <w:rFonts w:ascii="Liberation Sans" w:hAnsi="Liberation Sans"/>
                <w:b w:val="0"/>
                <w:sz w:val="14"/>
              </w:rPr>
              <w:t>Host transaction</w:t>
            </w:r>
          </w:p>
        </w:tc>
        <w:tc>
          <w:tcPr>
            <w:tcW w:type="dxa" w:w="2948"/>
            <w:vAlign w:val="center"/>
          </w:tcPr>
          <w:p>
            <w:pPr>
              <w:spacing w:after="0" w:line="240" w:lineRule="auto"/>
            </w:pPr>
            <w:r/>
            <w:r>
              <w:rPr>
                <w:rFonts w:ascii="Liberation Sans" w:hAnsi="Liberation Sans"/>
                <w:b w:val="0"/>
                <w:sz w:val="14"/>
              </w:rPr>
              <w:t>amount bucket, payee novelty, initiation mode, beneficiary age if known</w:t>
            </w:r>
          </w:p>
        </w:tc>
        <w:tc>
          <w:tcPr>
            <w:tcW w:type="dxa" w:w="5159"/>
            <w:vAlign w:val="center"/>
          </w:tcPr>
          <w:p>
            <w:pPr>
              <w:spacing w:after="0" w:line="240" w:lineRule="auto"/>
            </w:pPr>
            <w:r/>
            <w:r>
              <w:rPr>
                <w:rFonts w:ascii="Liberation Sans" w:hAnsi="Liberation Sans"/>
                <w:b w:val="0"/>
                <w:sz w:val="14"/>
              </w:rPr>
              <w:t>Directly supplied by host app; highest-confidence source.</w:t>
            </w:r>
          </w:p>
        </w:tc>
      </w:tr>
      <w:tr>
        <w:trPr>
          <w:cantSplit/>
        </w:trPr>
        <w:tc>
          <w:tcPr>
            <w:tcW w:type="dxa" w:w="1701"/>
            <w:vAlign w:val="center"/>
          </w:tcPr>
          <w:p>
            <w:pPr>
              <w:spacing w:after="0" w:line="240" w:lineRule="auto"/>
            </w:pPr>
            <w:r/>
            <w:r>
              <w:rPr>
                <w:rFonts w:ascii="Liberation Sans" w:hAnsi="Liberation Sans"/>
                <w:b w:val="0"/>
                <w:sz w:val="14"/>
              </w:rPr>
              <w:t>Communication state</w:t>
            </w:r>
          </w:p>
        </w:tc>
        <w:tc>
          <w:tcPr>
            <w:tcW w:type="dxa" w:w="2948"/>
            <w:vAlign w:val="center"/>
          </w:tcPr>
          <w:p>
            <w:pPr>
              <w:spacing w:after="0" w:line="240" w:lineRule="auto"/>
            </w:pPr>
            <w:r/>
            <w:r>
              <w:rPr>
                <w:rFonts w:ascii="Liberation Sans" w:hAnsi="Liberation Sans"/>
                <w:b w:val="0"/>
                <w:sz w:val="14"/>
              </w:rPr>
              <w:t>MODE_IN_CALL / MODE_IN_COMMUNICATION / communication-active boolean</w:t>
            </w:r>
          </w:p>
        </w:tc>
        <w:tc>
          <w:tcPr>
            <w:tcW w:type="dxa" w:w="5159"/>
            <w:vAlign w:val="center"/>
          </w:tcPr>
          <w:p>
            <w:pPr>
              <w:spacing w:after="0" w:line="240" w:lineRule="auto"/>
            </w:pPr>
            <w:r/>
            <w:r>
              <w:rPr>
                <w:rFonts w:ascii="Liberation Sans" w:hAnsi="Liberation Sans"/>
                <w:b w:val="0"/>
                <w:sz w:val="14"/>
              </w:rPr>
              <w:t>Android AudioManager exposes telephony/communication modes; treat as coarse weak evidence, not proof of scam. [EXT; Ref. 10]</w:t>
            </w:r>
          </w:p>
        </w:tc>
      </w:tr>
      <w:tr>
        <w:trPr>
          <w:cantSplit/>
        </w:trPr>
        <w:tc>
          <w:tcPr>
            <w:tcW w:type="dxa" w:w="1701"/>
            <w:vAlign w:val="center"/>
          </w:tcPr>
          <w:p>
            <w:pPr>
              <w:spacing w:after="0" w:line="240" w:lineRule="auto"/>
            </w:pPr>
            <w:r/>
            <w:r>
              <w:rPr>
                <w:rFonts w:ascii="Liberation Sans" w:hAnsi="Liberation Sans"/>
                <w:b w:val="0"/>
                <w:sz w:val="14"/>
              </w:rPr>
              <w:t>Access risk</w:t>
            </w:r>
          </w:p>
        </w:tc>
        <w:tc>
          <w:tcPr>
            <w:tcW w:type="dxa" w:w="2948"/>
            <w:vAlign w:val="center"/>
          </w:tcPr>
          <w:p>
            <w:pPr>
              <w:spacing w:after="0" w:line="240" w:lineRule="auto"/>
            </w:pPr>
            <w:r/>
            <w:r>
              <w:rPr>
                <w:rFonts w:ascii="Liberation Sans" w:hAnsi="Liberation Sans"/>
                <w:b w:val="0"/>
                <w:sz w:val="14"/>
              </w:rPr>
              <w:t>capturing / controlling / overlays verdict</w:t>
            </w:r>
          </w:p>
        </w:tc>
        <w:tc>
          <w:tcPr>
            <w:tcW w:type="dxa" w:w="5159"/>
            <w:vAlign w:val="center"/>
          </w:tcPr>
          <w:p>
            <w:pPr>
              <w:spacing w:after="0" w:line="240" w:lineRule="auto"/>
            </w:pPr>
            <w:r/>
            <w:r>
              <w:rPr>
                <w:rFonts w:ascii="Liberation Sans" w:hAnsi="Liberation Sans"/>
                <w:b w:val="0"/>
                <w:sz w:val="14"/>
              </w:rPr>
              <w:t>Play Integrity appAccessRiskVerdict can report apps capable of capture/control/overlay without disclosing app identity. [EXT; Refs. 7–9]</w:t>
            </w:r>
          </w:p>
        </w:tc>
      </w:tr>
      <w:tr>
        <w:trPr>
          <w:cantSplit/>
        </w:trPr>
        <w:tc>
          <w:tcPr>
            <w:tcW w:type="dxa" w:w="1701"/>
            <w:vAlign w:val="center"/>
          </w:tcPr>
          <w:p>
            <w:pPr>
              <w:spacing w:after="0" w:line="240" w:lineRule="auto"/>
            </w:pPr>
            <w:r/>
            <w:r>
              <w:rPr>
                <w:rFonts w:ascii="Liberation Sans" w:hAnsi="Liberation Sans"/>
                <w:b w:val="0"/>
                <w:sz w:val="14"/>
              </w:rPr>
              <w:t>Device integrity</w:t>
            </w:r>
          </w:p>
        </w:tc>
        <w:tc>
          <w:tcPr>
            <w:tcW w:type="dxa" w:w="2948"/>
            <w:vAlign w:val="center"/>
          </w:tcPr>
          <w:p>
            <w:pPr>
              <w:spacing w:after="0" w:line="240" w:lineRule="auto"/>
            </w:pPr>
            <w:r/>
            <w:r>
              <w:rPr>
                <w:rFonts w:ascii="Liberation Sans" w:hAnsi="Liberation Sans"/>
                <w:b w:val="0"/>
                <w:sz w:val="14"/>
              </w:rPr>
              <w:t>recognised app/device integrity tier</w:t>
            </w:r>
          </w:p>
        </w:tc>
        <w:tc>
          <w:tcPr>
            <w:tcW w:type="dxa" w:w="5159"/>
            <w:vAlign w:val="center"/>
          </w:tcPr>
          <w:p>
            <w:pPr>
              <w:spacing w:after="0" w:line="240" w:lineRule="auto"/>
            </w:pPr>
            <w:r/>
            <w:r>
              <w:rPr>
                <w:rFonts w:ascii="Liberation Sans" w:hAnsi="Liberation Sans"/>
                <w:b w:val="0"/>
                <w:sz w:val="14"/>
              </w:rPr>
              <w:t>Optional Play Integrity risk input; never equate custom ROM with fraud by itself.</w:t>
            </w:r>
          </w:p>
        </w:tc>
      </w:tr>
      <w:tr>
        <w:trPr>
          <w:cantSplit/>
        </w:trPr>
        <w:tc>
          <w:tcPr>
            <w:tcW w:type="dxa" w:w="1701"/>
            <w:vAlign w:val="center"/>
          </w:tcPr>
          <w:p>
            <w:pPr>
              <w:spacing w:after="0" w:line="240" w:lineRule="auto"/>
            </w:pPr>
            <w:r/>
            <w:r>
              <w:rPr>
                <w:rFonts w:ascii="Liberation Sans" w:hAnsi="Liberation Sans"/>
                <w:b w:val="0"/>
                <w:sz w:val="14"/>
              </w:rPr>
              <w:t>User baseline</w:t>
            </w:r>
          </w:p>
        </w:tc>
        <w:tc>
          <w:tcPr>
            <w:tcW w:type="dxa" w:w="2948"/>
            <w:vAlign w:val="center"/>
          </w:tcPr>
          <w:p>
            <w:pPr>
              <w:spacing w:after="0" w:line="240" w:lineRule="auto"/>
            </w:pPr>
            <w:r/>
            <w:r>
              <w:rPr>
                <w:rFonts w:ascii="Liberation Sans" w:hAnsi="Liberation Sans"/>
                <w:b w:val="0"/>
                <w:sz w:val="14"/>
              </w:rPr>
              <w:t>amount z-score / percentile, new beneficiary, burst velocity</w:t>
            </w:r>
          </w:p>
        </w:tc>
        <w:tc>
          <w:tcPr>
            <w:tcW w:type="dxa" w:w="5159"/>
            <w:vAlign w:val="center"/>
          </w:tcPr>
          <w:p>
            <w:pPr>
              <w:spacing w:after="0" w:line="240" w:lineRule="auto"/>
            </w:pPr>
            <w:r/>
            <w:r>
              <w:rPr>
                <w:rFonts w:ascii="Liberation Sans" w:hAnsi="Liberation Sans"/>
                <w:b w:val="0"/>
                <w:sz w:val="14"/>
              </w:rPr>
              <w:t>Computed locally or host-provided; must have minimum-history fallback.</w:t>
            </w:r>
          </w:p>
        </w:tc>
      </w:tr>
      <w:tr>
        <w:trPr>
          <w:cantSplit/>
        </w:trPr>
        <w:tc>
          <w:tcPr>
            <w:tcW w:type="dxa" w:w="1701"/>
            <w:vAlign w:val="center"/>
          </w:tcPr>
          <w:p>
            <w:pPr>
              <w:spacing w:after="0" w:line="240" w:lineRule="auto"/>
            </w:pPr>
            <w:r/>
            <w:r>
              <w:rPr>
                <w:rFonts w:ascii="Liberation Sans" w:hAnsi="Liberation Sans"/>
                <w:b w:val="0"/>
                <w:sz w:val="14"/>
              </w:rPr>
              <w:t>Graph token</w:t>
            </w:r>
          </w:p>
        </w:tc>
        <w:tc>
          <w:tcPr>
            <w:tcW w:type="dxa" w:w="2948"/>
            <w:vAlign w:val="center"/>
          </w:tcPr>
          <w:p>
            <w:pPr>
              <w:spacing w:after="0" w:line="240" w:lineRule="auto"/>
            </w:pPr>
            <w:r/>
            <w:r>
              <w:rPr>
                <w:rFonts w:ascii="Liberation Sans" w:hAnsi="Liberation Sans"/>
                <w:b w:val="0"/>
                <w:sz w:val="14"/>
              </w:rPr>
              <w:t>beneficiary risk, topology code, token age</w:t>
            </w:r>
          </w:p>
        </w:tc>
        <w:tc>
          <w:tcPr>
            <w:tcW w:type="dxa" w:w="5159"/>
            <w:vAlign w:val="center"/>
          </w:tcPr>
          <w:p>
            <w:pPr>
              <w:spacing w:after="0" w:line="240" w:lineRule="auto"/>
            </w:pPr>
            <w:r/>
            <w:r>
              <w:rPr>
                <w:rFonts w:ascii="Liberation Sans" w:hAnsi="Liberation Sans"/>
                <w:b w:val="0"/>
                <w:sz w:val="14"/>
              </w:rPr>
              <w:t>Signed institution response; absent in offline/degraded mode.</w:t>
            </w:r>
          </w:p>
        </w:tc>
      </w:tr>
      <w:tr>
        <w:trPr>
          <w:cantSplit/>
        </w:trPr>
        <w:tc>
          <w:tcPr>
            <w:tcW w:type="dxa" w:w="1701"/>
            <w:vAlign w:val="center"/>
          </w:tcPr>
          <w:p>
            <w:pPr>
              <w:spacing w:after="0" w:line="240" w:lineRule="auto"/>
            </w:pPr>
            <w:r/>
            <w:r>
              <w:rPr>
                <w:rFonts w:ascii="Liberation Sans" w:hAnsi="Liberation Sans"/>
                <w:b w:val="0"/>
                <w:sz w:val="14"/>
              </w:rPr>
              <w:t>Interaction response</w:t>
            </w:r>
          </w:p>
        </w:tc>
        <w:tc>
          <w:tcPr>
            <w:tcW w:type="dxa" w:w="2948"/>
            <w:vAlign w:val="center"/>
          </w:tcPr>
          <w:p>
            <w:pPr>
              <w:spacing w:after="0" w:line="240" w:lineRule="auto"/>
            </w:pPr>
            <w:r/>
            <w:r>
              <w:rPr>
                <w:rFonts w:ascii="Liberation Sans" w:hAnsi="Liberation Sans"/>
                <w:b w:val="0"/>
                <w:sz w:val="14"/>
              </w:rPr>
              <w:t>answered, timed-out, cancelled, resumed</w:t>
            </w:r>
          </w:p>
        </w:tc>
        <w:tc>
          <w:tcPr>
            <w:tcW w:type="dxa" w:w="5159"/>
            <w:vAlign w:val="center"/>
          </w:tcPr>
          <w:p>
            <w:pPr>
              <w:spacing w:after="0" w:line="240" w:lineRule="auto"/>
            </w:pPr>
            <w:r/>
            <w:r>
              <w:rPr>
                <w:rFonts w:ascii="Liberation Sans" w:hAnsi="Liberation Sans"/>
                <w:b w:val="0"/>
                <w:sz w:val="14"/>
              </w:rPr>
              <w:t>Generated only after Vyuha intervention; becomes evidence and later training outcome.</w:t>
            </w:r>
          </w:p>
        </w:tc>
      </w:tr>
    </w:tbl>
    <w:p>
      <w:pPr>
        <w:pStyle w:val="Tiny"/>
      </w:pPr>
    </w:p>
    <w:p>
      <w:pPr>
        <w:pStyle w:val="Heading2"/>
      </w:pPr>
      <w:r>
        <w:t>Signals explicitly excluded from core MVP</w:t>
      </w:r>
    </w:p>
    <w:p>
      <w:pPr>
        <w:ind w:left="215" w:hanging="125"/>
      </w:pPr>
      <w:r>
        <w:rPr>
          <w:b/>
        </w:rPr>
        <w:t xml:space="preserve">• </w:t>
      </w:r>
      <w:r>
        <w:t>raw call audio</w:t>
      </w:r>
    </w:p>
    <w:p>
      <w:pPr>
        <w:ind w:left="215" w:hanging="125"/>
      </w:pPr>
      <w:r>
        <w:rPr>
          <w:b/>
        </w:rPr>
        <w:t xml:space="preserve">• </w:t>
      </w:r>
      <w:r>
        <w:t>speech transcription</w:t>
      </w:r>
    </w:p>
    <w:p>
      <w:pPr>
        <w:ind w:left="215" w:hanging="125"/>
      </w:pPr>
      <w:r>
        <w:rPr>
          <w:b/>
        </w:rPr>
        <w:t xml:space="preserve">• </w:t>
      </w:r>
      <w:r>
        <w:t>screen pixels</w:t>
      </w:r>
    </w:p>
    <w:p>
      <w:pPr>
        <w:ind w:left="215" w:hanging="125"/>
      </w:pPr>
      <w:r>
        <w:rPr>
          <w:b/>
        </w:rPr>
        <w:t xml:space="preserve">• </w:t>
      </w:r>
      <w:r>
        <w:t>camera feed</w:t>
      </w:r>
    </w:p>
    <w:p>
      <w:pPr>
        <w:ind w:left="215" w:hanging="125"/>
      </w:pPr>
      <w:r>
        <w:rPr>
          <w:b/>
        </w:rPr>
        <w:t xml:space="preserve">• </w:t>
      </w:r>
      <w:r>
        <w:t>keystroke content</w:t>
      </w:r>
    </w:p>
    <w:p>
      <w:pPr>
        <w:ind w:left="215" w:hanging="125"/>
      </w:pPr>
      <w:r>
        <w:rPr>
          <w:b/>
        </w:rPr>
        <w:t xml:space="preserve">• </w:t>
      </w:r>
      <w:r>
        <w:t>continuous GPS trail</w:t>
      </w:r>
    </w:p>
    <w:p>
      <w:pPr>
        <w:ind w:left="215" w:hanging="125"/>
      </w:pPr>
      <w:r>
        <w:rPr>
          <w:b/>
        </w:rPr>
        <w:t xml:space="preserve">• </w:t>
      </w:r>
      <w:r>
        <w:t>arbitrary message contents</w:t>
      </w:r>
    </w:p>
    <w:p>
      <w:pPr>
        <w:ind w:left="215" w:hanging="125"/>
      </w:pPr>
      <w:r>
        <w:rPr>
          <w:b/>
        </w:rPr>
        <w:t xml:space="preserve">• </w:t>
      </w:r>
      <w:r>
        <w:t>full contact book export</w:t>
      </w:r>
    </w:p>
    <w:p>
      <w:pPr>
        <w:pStyle w:val="Heading2"/>
      </w:pPr>
      <w:r>
        <w:t>Foreground-app detection</w:t>
      </w:r>
    </w:p>
    <w:p>
      <w:r>
        <w:t>Because the intended deployment is inside the participating UPI/bank app, Vyuha already knows when its own protected transaction flow is active. Querying other apps through UsageStatsManager generally requires usage-access permission and explicit device settings; this is not necessary for the core product and should not be a default dependency. [EXT; Ref. 11]</w:t>
      </w:r>
    </w:p>
    <w:p>
      <w:r>
        <w:br w:type="page"/>
      </w:r>
    </w:p>
    <w:p>
      <w:pPr>
        <w:spacing w:after="0"/>
      </w:pPr>
      <w:r>
        <w:rPr>
          <w:b/>
          <w:sz w:val="15"/>
        </w:rPr>
        <w:t>EDGE ML</w:t>
      </w:r>
    </w:p>
    <w:p>
      <w:pPr>
        <w:pStyle w:val="Heading1"/>
      </w:pPr>
      <w:r>
        <w:t>Sparse Risk-MoE: Conditional Computation Without Buzzword Abuse</w:t>
      </w:r>
    </w:p>
    <w:p>
      <w:r>
        <w:t>The original deck uses a “MoE router” to bypass most normal traffic. The implementation should make that term concrete. The Vyuha Risk-MoE is a small conditional ensemble in which a gate activates only the experts relevant to the current risk context. Sparse gating is motivated by mixture-of-experts work on conditional computation, but Vyuha applies the principle to tiny interpretable risk experts rather than giant language-model capacity. [EXT; Ref. 18]</w:t>
      </w:r>
    </w:p>
    <w:tbl>
      <w:tblPr>
        <w:tblStyle w:val="TableGrid"/>
        <w:tblW w:type="auto" w:w="0"/>
        <w:jc w:val="center"/>
        <w:tblLook w:firstColumn="1" w:firstRow="1" w:lastColumn="0" w:lastRow="0" w:noHBand="0" w:noVBand="1" w:val="04A0"/>
      </w:tblPr>
      <w:tblGrid>
        <w:gridCol w:w="3459"/>
        <w:gridCol w:w="3459"/>
        <w:gridCol w:w="3459"/>
      </w:tblGrid>
      <w:tr>
        <w:trPr>
          <w:cantSplit/>
        </w:trPr>
        <w:tc>
          <w:tcPr>
            <w:tcW w:type="dxa" w:w="1757"/>
            <w:shd w:fill="E7E6E6"/>
            <w:vAlign w:val="center"/>
          </w:tcPr>
          <w:p>
            <w:pPr>
              <w:spacing w:after="0" w:line="240" w:lineRule="auto"/>
            </w:pPr>
            <w:r/>
            <w:r>
              <w:rPr>
                <w:rFonts w:ascii="Liberation Sans" w:hAnsi="Liberation Sans"/>
                <w:b/>
                <w:sz w:val="14"/>
              </w:rPr>
              <w:t>Expert</w:t>
            </w:r>
          </w:p>
        </w:tc>
        <w:tc>
          <w:tcPr>
            <w:tcW w:type="dxa" w:w="4139"/>
            <w:shd w:fill="E7E6E6"/>
            <w:vAlign w:val="center"/>
          </w:tcPr>
          <w:p>
            <w:pPr>
              <w:spacing w:after="0" w:line="240" w:lineRule="auto"/>
            </w:pPr>
            <w:r/>
            <w:r>
              <w:rPr>
                <w:rFonts w:ascii="Liberation Sans" w:hAnsi="Liberation Sans"/>
                <w:b/>
                <w:sz w:val="14"/>
              </w:rPr>
              <w:t>Inputs</w:t>
            </w:r>
          </w:p>
        </w:tc>
        <w:tc>
          <w:tcPr>
            <w:tcW w:type="dxa" w:w="3969"/>
            <w:shd w:fill="E7E6E6"/>
            <w:vAlign w:val="center"/>
          </w:tcPr>
          <w:p>
            <w:pPr>
              <w:spacing w:after="0" w:line="240" w:lineRule="auto"/>
            </w:pPr>
            <w:r/>
            <w:r>
              <w:rPr>
                <w:rFonts w:ascii="Liberation Sans" w:hAnsi="Liberation Sans"/>
                <w:b/>
                <w:sz w:val="14"/>
              </w:rPr>
              <w:t>Output / purpose</w:t>
            </w:r>
          </w:p>
        </w:tc>
      </w:tr>
      <w:tr>
        <w:trPr>
          <w:cantSplit/>
        </w:trPr>
        <w:tc>
          <w:tcPr>
            <w:tcW w:type="dxa" w:w="1757"/>
            <w:vAlign w:val="center"/>
          </w:tcPr>
          <w:p>
            <w:pPr>
              <w:spacing w:after="0" w:line="240" w:lineRule="auto"/>
            </w:pPr>
            <w:r/>
            <w:r>
              <w:rPr>
                <w:rFonts w:ascii="Liberation Sans" w:hAnsi="Liberation Sans"/>
                <w:b w:val="0"/>
                <w:sz w:val="14"/>
              </w:rPr>
              <w:t>E1 Temporal Context</w:t>
            </w:r>
          </w:p>
        </w:tc>
        <w:tc>
          <w:tcPr>
            <w:tcW w:type="dxa" w:w="4139"/>
            <w:vAlign w:val="center"/>
          </w:tcPr>
          <w:p>
            <w:pPr>
              <w:spacing w:after="0" w:line="240" w:lineRule="auto"/>
            </w:pPr>
            <w:r/>
            <w:r>
              <w:rPr>
                <w:rFonts w:ascii="Liberation Sans" w:hAnsi="Liberation Sans"/>
                <w:b w:val="0"/>
                <w:sz w:val="14"/>
              </w:rPr>
              <w:t>last N session events, time deltas, communication state</w:t>
            </w:r>
          </w:p>
        </w:tc>
        <w:tc>
          <w:tcPr>
            <w:tcW w:type="dxa" w:w="3969"/>
            <w:vAlign w:val="center"/>
          </w:tcPr>
          <w:p>
            <w:pPr>
              <w:spacing w:after="0" w:line="240" w:lineRule="auto"/>
            </w:pPr>
            <w:r/>
            <w:r>
              <w:rPr>
                <w:rFonts w:ascii="Liberation Sans" w:hAnsi="Liberation Sans"/>
                <w:b w:val="0"/>
                <w:sz w:val="14"/>
              </w:rPr>
              <w:t>Sequence risk: is the current event ordering unusual or coercion-like?</w:t>
            </w:r>
          </w:p>
        </w:tc>
      </w:tr>
      <w:tr>
        <w:trPr>
          <w:cantSplit/>
        </w:trPr>
        <w:tc>
          <w:tcPr>
            <w:tcW w:type="dxa" w:w="1757"/>
            <w:vAlign w:val="center"/>
          </w:tcPr>
          <w:p>
            <w:pPr>
              <w:spacing w:after="0" w:line="240" w:lineRule="auto"/>
            </w:pPr>
            <w:r/>
            <w:r>
              <w:rPr>
                <w:rFonts w:ascii="Liberation Sans" w:hAnsi="Liberation Sans"/>
                <w:b w:val="0"/>
                <w:sz w:val="14"/>
              </w:rPr>
              <w:t>E2 Personal Baseline</w:t>
            </w:r>
          </w:p>
        </w:tc>
        <w:tc>
          <w:tcPr>
            <w:tcW w:type="dxa" w:w="4139"/>
            <w:vAlign w:val="center"/>
          </w:tcPr>
          <w:p>
            <w:pPr>
              <w:spacing w:after="0" w:line="240" w:lineRule="auto"/>
            </w:pPr>
            <w:r/>
            <w:r>
              <w:rPr>
                <w:rFonts w:ascii="Liberation Sans" w:hAnsi="Liberation Sans"/>
                <w:b w:val="0"/>
                <w:sz w:val="14"/>
              </w:rPr>
              <w:t>amount percentile, payee novelty, velocity, time-of-day</w:t>
            </w:r>
          </w:p>
        </w:tc>
        <w:tc>
          <w:tcPr>
            <w:tcW w:type="dxa" w:w="3969"/>
            <w:vAlign w:val="center"/>
          </w:tcPr>
          <w:p>
            <w:pPr>
              <w:spacing w:after="0" w:line="240" w:lineRule="auto"/>
            </w:pPr>
            <w:r/>
            <w:r>
              <w:rPr>
                <w:rFonts w:ascii="Liberation Sans" w:hAnsi="Liberation Sans"/>
                <w:b w:val="0"/>
                <w:sz w:val="14"/>
              </w:rPr>
              <w:t>User-relative anomaly; avoids one global threshold.</w:t>
            </w:r>
          </w:p>
        </w:tc>
      </w:tr>
      <w:tr>
        <w:trPr>
          <w:cantSplit/>
        </w:trPr>
        <w:tc>
          <w:tcPr>
            <w:tcW w:type="dxa" w:w="1757"/>
            <w:vAlign w:val="center"/>
          </w:tcPr>
          <w:p>
            <w:pPr>
              <w:spacing w:after="0" w:line="240" w:lineRule="auto"/>
            </w:pPr>
            <w:r/>
            <w:r>
              <w:rPr>
                <w:rFonts w:ascii="Liberation Sans" w:hAnsi="Liberation Sans"/>
                <w:b w:val="0"/>
                <w:sz w:val="14"/>
              </w:rPr>
              <w:t>E3 Device Access</w:t>
            </w:r>
          </w:p>
        </w:tc>
        <w:tc>
          <w:tcPr>
            <w:tcW w:type="dxa" w:w="4139"/>
            <w:vAlign w:val="center"/>
          </w:tcPr>
          <w:p>
            <w:pPr>
              <w:spacing w:after="0" w:line="240" w:lineRule="auto"/>
            </w:pPr>
            <w:r/>
            <w:r>
              <w:rPr>
                <w:rFonts w:ascii="Liberation Sans" w:hAnsi="Liberation Sans"/>
                <w:b w:val="0"/>
                <w:sz w:val="14"/>
              </w:rPr>
              <w:t>capture/control/overlay + integrity flags</w:t>
            </w:r>
          </w:p>
        </w:tc>
        <w:tc>
          <w:tcPr>
            <w:tcW w:type="dxa" w:w="3969"/>
            <w:vAlign w:val="center"/>
          </w:tcPr>
          <w:p>
            <w:pPr>
              <w:spacing w:after="0" w:line="240" w:lineRule="auto"/>
            </w:pPr>
            <w:r/>
            <w:r>
              <w:rPr>
                <w:rFonts w:ascii="Liberation Sans" w:hAnsi="Liberation Sans"/>
                <w:b w:val="0"/>
                <w:sz w:val="14"/>
              </w:rPr>
              <w:t>Remote-control or observation risk.</w:t>
            </w:r>
          </w:p>
        </w:tc>
      </w:tr>
      <w:tr>
        <w:trPr>
          <w:cantSplit/>
        </w:trPr>
        <w:tc>
          <w:tcPr>
            <w:tcW w:type="dxa" w:w="1757"/>
            <w:vAlign w:val="center"/>
          </w:tcPr>
          <w:p>
            <w:pPr>
              <w:spacing w:after="0" w:line="240" w:lineRule="auto"/>
            </w:pPr>
            <w:r/>
            <w:r>
              <w:rPr>
                <w:rFonts w:ascii="Liberation Sans" w:hAnsi="Liberation Sans"/>
                <w:b w:val="0"/>
                <w:sz w:val="14"/>
              </w:rPr>
              <w:t>E4 Transaction Novelty</w:t>
            </w:r>
          </w:p>
        </w:tc>
        <w:tc>
          <w:tcPr>
            <w:tcW w:type="dxa" w:w="4139"/>
            <w:vAlign w:val="center"/>
          </w:tcPr>
          <w:p>
            <w:pPr>
              <w:spacing w:after="0" w:line="240" w:lineRule="auto"/>
            </w:pPr>
            <w:r/>
            <w:r>
              <w:rPr>
                <w:rFonts w:ascii="Liberation Sans" w:hAnsi="Liberation Sans"/>
                <w:b w:val="0"/>
                <w:sz w:val="14"/>
              </w:rPr>
              <w:t>new beneficiary, rail/mode, amount, recipient metadata</w:t>
            </w:r>
          </w:p>
        </w:tc>
        <w:tc>
          <w:tcPr>
            <w:tcW w:type="dxa" w:w="3969"/>
            <w:vAlign w:val="center"/>
          </w:tcPr>
          <w:p>
            <w:pPr>
              <w:spacing w:after="0" w:line="240" w:lineRule="auto"/>
            </w:pPr>
            <w:r/>
            <w:r>
              <w:rPr>
                <w:rFonts w:ascii="Liberation Sans" w:hAnsi="Liberation Sans"/>
                <w:b w:val="0"/>
                <w:sz w:val="14"/>
              </w:rPr>
              <w:t>Transaction-specific novelty and loss magnitude.</w:t>
            </w:r>
          </w:p>
        </w:tc>
      </w:tr>
      <w:tr>
        <w:trPr>
          <w:cantSplit/>
        </w:trPr>
        <w:tc>
          <w:tcPr>
            <w:tcW w:type="dxa" w:w="1757"/>
            <w:vAlign w:val="center"/>
          </w:tcPr>
          <w:p>
            <w:pPr>
              <w:spacing w:after="0" w:line="240" w:lineRule="auto"/>
            </w:pPr>
            <w:r/>
            <w:r>
              <w:rPr>
                <w:rFonts w:ascii="Liberation Sans" w:hAnsi="Liberation Sans"/>
                <w:b w:val="0"/>
                <w:sz w:val="14"/>
              </w:rPr>
              <w:t>E5 Institutional Risk</w:t>
            </w:r>
          </w:p>
        </w:tc>
        <w:tc>
          <w:tcPr>
            <w:tcW w:type="dxa" w:w="4139"/>
            <w:vAlign w:val="center"/>
          </w:tcPr>
          <w:p>
            <w:pPr>
              <w:spacing w:after="0" w:line="240" w:lineRule="auto"/>
            </w:pPr>
            <w:r/>
            <w:r>
              <w:rPr>
                <w:rFonts w:ascii="Liberation Sans" w:hAnsi="Liberation Sans"/>
                <w:b w:val="0"/>
                <w:sz w:val="14"/>
              </w:rPr>
              <w:t>signed graph token fields</w:t>
            </w:r>
          </w:p>
        </w:tc>
        <w:tc>
          <w:tcPr>
            <w:tcW w:type="dxa" w:w="3969"/>
            <w:vAlign w:val="center"/>
          </w:tcPr>
          <w:p>
            <w:pPr>
              <w:spacing w:after="0" w:line="240" w:lineRule="auto"/>
            </w:pPr>
            <w:r/>
            <w:r>
              <w:rPr>
                <w:rFonts w:ascii="Liberation Sans" w:hAnsi="Liberation Sans"/>
                <w:b w:val="0"/>
                <w:sz w:val="14"/>
              </w:rPr>
              <w:t>Beneficiary/network prior when available.</w:t>
            </w:r>
          </w:p>
        </w:tc>
      </w:tr>
    </w:tbl>
    <w:p>
      <w:pPr>
        <w:pStyle w:val="Tiny"/>
      </w:pPr>
    </w:p>
    <w:p>
      <w:pPr>
        <w:pStyle w:val="Heading2"/>
      </w:pPr>
      <w:r>
        <w:t>Gate design</w:t>
      </w:r>
    </w:p>
    <w:p>
      <w:r>
        <w:t>A very small gate g(x) produces expert activation weights. For the MVP, use top-k = 2 or 3 experts plus a mandatory cheap baseline expert. The gate must expose which experts activated and their weights. Conditional execution may reduce average compute, but the project must benchmark this rather than claim “zero overhead.”</w:t>
      </w:r>
    </w:p>
    <w:p>
      <w:pPr>
        <w:pStyle w:val="Heading2"/>
      </w:pPr>
      <w:r>
        <w:t>Proposed local output</w:t>
      </w:r>
    </w:p>
    <w:p>
      <w:r>
        <w:t>`LocalRisk = {score, expert_scores, gate_weights, confidence, missing_mask, ood_score, model_version}`. The score is not the final decision. It becomes evidence for the belief-state update and policy layer.</w:t>
      </w:r>
    </w:p>
    <w:tbl>
      <w:tblPr>
        <w:tblStyle w:val="TableGrid"/>
        <w:tblW w:type="auto" w:w="0"/>
        <w:jc w:val="center"/>
        <w:tblLook w:firstColumn="1" w:firstRow="1" w:lastColumn="0" w:lastRow="0" w:noHBand="0" w:noVBand="1" w:val="04A0"/>
      </w:tblPr>
      <w:tblGrid>
        <w:gridCol w:w="5188"/>
        <w:gridCol w:w="5188"/>
      </w:tblGrid>
      <w:tr>
        <w:trPr>
          <w:cantSplit/>
        </w:trPr>
        <w:tc>
          <w:tcPr>
            <w:tcW w:type="dxa" w:w="2835"/>
            <w:shd w:fill="E7E6E6"/>
            <w:vAlign w:val="center"/>
          </w:tcPr>
          <w:p>
            <w:pPr>
              <w:spacing w:after="0" w:line="240" w:lineRule="auto"/>
            </w:pPr>
            <w:r/>
            <w:r>
              <w:rPr>
                <w:rFonts w:ascii="Liberation Sans" w:hAnsi="Liberation Sans"/>
                <w:b/>
                <w:sz w:val="15"/>
              </w:rPr>
              <w:t>[TARGET] Edge benchmark</w:t>
            </w:r>
          </w:p>
        </w:tc>
        <w:tc>
          <w:tcPr>
            <w:tcW w:type="dxa" w:w="6973"/>
            <w:shd w:fill="E7E6E6"/>
            <w:vAlign w:val="center"/>
          </w:tcPr>
          <w:p>
            <w:pPr>
              <w:spacing w:after="0" w:line="240" w:lineRule="auto"/>
            </w:pPr>
            <w:r/>
            <w:r>
              <w:rPr>
                <w:rFonts w:ascii="Liberation Sans" w:hAnsi="Liberation Sans"/>
                <w:b/>
                <w:sz w:val="15"/>
              </w:rPr>
              <w:t>Acceptance target</w:t>
            </w:r>
          </w:p>
        </w:tc>
      </w:tr>
      <w:tr>
        <w:trPr>
          <w:cantSplit/>
        </w:trPr>
        <w:tc>
          <w:tcPr>
            <w:tcW w:type="dxa" w:w="2835"/>
            <w:vAlign w:val="center"/>
          </w:tcPr>
          <w:p>
            <w:pPr>
              <w:spacing w:after="0" w:line="240" w:lineRule="auto"/>
            </w:pPr>
            <w:r/>
            <w:r>
              <w:rPr>
                <w:rFonts w:ascii="Liberation Sans" w:hAnsi="Liberation Sans"/>
                <w:b w:val="0"/>
                <w:sz w:val="15"/>
              </w:rPr>
              <w:t>Latency</w:t>
            </w:r>
          </w:p>
        </w:tc>
        <w:tc>
          <w:tcPr>
            <w:tcW w:type="dxa" w:w="6973"/>
            <w:vAlign w:val="center"/>
          </w:tcPr>
          <w:p>
            <w:pPr>
              <w:spacing w:after="0" w:line="240" w:lineRule="auto"/>
            </w:pPr>
            <w:r/>
            <w:r>
              <w:rPr>
                <w:rFonts w:ascii="Liberation Sans" w:hAnsi="Liberation Sans"/>
                <w:b w:val="0"/>
                <w:sz w:val="15"/>
              </w:rPr>
              <w:t>p50 &lt; 15 ms; p95 &lt; 50 ms for local risk path on chosen mid-range Android test device.</w:t>
            </w:r>
          </w:p>
        </w:tc>
      </w:tr>
      <w:tr>
        <w:trPr>
          <w:cantSplit/>
        </w:trPr>
        <w:tc>
          <w:tcPr>
            <w:tcW w:type="dxa" w:w="2835"/>
            <w:vAlign w:val="center"/>
          </w:tcPr>
          <w:p>
            <w:pPr>
              <w:spacing w:after="0" w:line="240" w:lineRule="auto"/>
            </w:pPr>
            <w:r/>
            <w:r>
              <w:rPr>
                <w:rFonts w:ascii="Liberation Sans" w:hAnsi="Liberation Sans"/>
                <w:b w:val="0"/>
                <w:sz w:val="15"/>
              </w:rPr>
              <w:t>Model size</w:t>
            </w:r>
          </w:p>
        </w:tc>
        <w:tc>
          <w:tcPr>
            <w:tcW w:type="dxa" w:w="6973"/>
            <w:vAlign w:val="center"/>
          </w:tcPr>
          <w:p>
            <w:pPr>
              <w:spacing w:after="0" w:line="240" w:lineRule="auto"/>
            </w:pPr>
            <w:r/>
            <w:r>
              <w:rPr>
                <w:rFonts w:ascii="Liberation Sans" w:hAnsi="Liberation Sans"/>
                <w:b w:val="0"/>
                <w:sz w:val="15"/>
              </w:rPr>
              <w:t>&lt;= 12 MB compressed bundle for MVP; stretch &lt;= 6 MB after quantization.</w:t>
            </w:r>
          </w:p>
        </w:tc>
      </w:tr>
      <w:tr>
        <w:trPr>
          <w:cantSplit/>
        </w:trPr>
        <w:tc>
          <w:tcPr>
            <w:tcW w:type="dxa" w:w="2835"/>
            <w:vAlign w:val="center"/>
          </w:tcPr>
          <w:p>
            <w:pPr>
              <w:spacing w:after="0" w:line="240" w:lineRule="auto"/>
            </w:pPr>
            <w:r/>
            <w:r>
              <w:rPr>
                <w:rFonts w:ascii="Liberation Sans" w:hAnsi="Liberation Sans"/>
                <w:b w:val="0"/>
                <w:sz w:val="15"/>
              </w:rPr>
              <w:t>Memory</w:t>
            </w:r>
          </w:p>
        </w:tc>
        <w:tc>
          <w:tcPr>
            <w:tcW w:type="dxa" w:w="6973"/>
            <w:vAlign w:val="center"/>
          </w:tcPr>
          <w:p>
            <w:pPr>
              <w:spacing w:after="0" w:line="240" w:lineRule="auto"/>
            </w:pPr>
            <w:r/>
            <w:r>
              <w:rPr>
                <w:rFonts w:ascii="Liberation Sans" w:hAnsi="Liberation Sans"/>
                <w:b w:val="0"/>
                <w:sz w:val="15"/>
              </w:rPr>
              <w:t>&lt;= 80 MB transient working set during protected transaction session.</w:t>
            </w:r>
          </w:p>
        </w:tc>
      </w:tr>
      <w:tr>
        <w:trPr>
          <w:cantSplit/>
        </w:trPr>
        <w:tc>
          <w:tcPr>
            <w:tcW w:type="dxa" w:w="2835"/>
            <w:vAlign w:val="center"/>
          </w:tcPr>
          <w:p>
            <w:pPr>
              <w:spacing w:after="0" w:line="240" w:lineRule="auto"/>
            </w:pPr>
            <w:r/>
            <w:r>
              <w:rPr>
                <w:rFonts w:ascii="Liberation Sans" w:hAnsi="Liberation Sans"/>
                <w:b w:val="0"/>
                <w:sz w:val="15"/>
              </w:rPr>
              <w:t>Idle cost</w:t>
            </w:r>
          </w:p>
        </w:tc>
        <w:tc>
          <w:tcPr>
            <w:tcW w:type="dxa" w:w="6973"/>
            <w:vAlign w:val="center"/>
          </w:tcPr>
          <w:p>
            <w:pPr>
              <w:spacing w:after="0" w:line="240" w:lineRule="auto"/>
            </w:pPr>
            <w:r/>
            <w:r>
              <w:rPr>
                <w:rFonts w:ascii="Liberation Sans" w:hAnsi="Liberation Sans"/>
                <w:b w:val="0"/>
                <w:sz w:val="15"/>
              </w:rPr>
              <w:t>No continuous ML loop; event-driven activation only. Measure 24 h battery delta before making claim.</w:t>
            </w:r>
          </w:p>
        </w:tc>
      </w:tr>
      <w:tr>
        <w:trPr>
          <w:cantSplit/>
        </w:trPr>
        <w:tc>
          <w:tcPr>
            <w:tcW w:type="dxa" w:w="2835"/>
            <w:vAlign w:val="center"/>
          </w:tcPr>
          <w:p>
            <w:pPr>
              <w:spacing w:after="0" w:line="240" w:lineRule="auto"/>
            </w:pPr>
            <w:r/>
            <w:r>
              <w:rPr>
                <w:rFonts w:ascii="Liberation Sans" w:hAnsi="Liberation Sans"/>
                <w:b w:val="0"/>
                <w:sz w:val="15"/>
              </w:rPr>
              <w:t>Explainability</w:t>
            </w:r>
          </w:p>
        </w:tc>
        <w:tc>
          <w:tcPr>
            <w:tcW w:type="dxa" w:w="6973"/>
            <w:vAlign w:val="center"/>
          </w:tcPr>
          <w:p>
            <w:pPr>
              <w:spacing w:after="0" w:line="240" w:lineRule="auto"/>
            </w:pPr>
            <w:r/>
            <w:r>
              <w:rPr>
                <w:rFonts w:ascii="Liberation Sans" w:hAnsi="Liberation Sans"/>
                <w:b w:val="0"/>
                <w:sz w:val="15"/>
              </w:rPr>
              <w:t>Every score includes activated experts and reason-code map.</w:t>
            </w:r>
          </w:p>
        </w:tc>
      </w:tr>
    </w:tbl>
    <w:p>
      <w:pPr>
        <w:pStyle w:val="Tiny"/>
      </w:pPr>
    </w:p>
    <w:p>
      <w:r>
        <w:br w:type="page"/>
      </w:r>
    </w:p>
    <w:p>
      <w:pPr>
        <w:spacing w:after="0"/>
      </w:pPr>
      <w:r>
        <w:rPr>
          <w:b/>
          <w:sz w:val="15"/>
        </w:rPr>
        <w:t>SEQUENTIAL INFERENCE</w:t>
      </w:r>
    </w:p>
    <w:p>
      <w:pPr>
        <w:pStyle w:val="Heading1"/>
      </w:pPr>
      <w:r>
        <w:t>Coercion Belief State: POMDP-Inspired Risk Accumulation</w:t>
      </w:r>
    </w:p>
    <w:p>
      <w:r>
        <w:t>Coercion is latent: the system cannot directly observe whether a person is psychologically controlled. It observes noisy proxies over time. Therefore Vyuha models a short-lived belief state rather than issuing a one-shot classifier verdict. This is conceptually aligned with partially observable decision processes, where actions are chosen from a belief over hidden state. [EXT; Ref. 17]</w:t>
      </w:r>
    </w:p>
    <w:tbl>
      <w:tblPr>
        <w:tblStyle w:val="TableGrid"/>
        <w:tblW w:type="auto" w:w="0"/>
        <w:jc w:val="center"/>
        <w:tblLook w:firstColumn="1" w:firstRow="1" w:lastColumn="0" w:lastRow="0" w:noHBand="0" w:noVBand="1" w:val="04A0"/>
      </w:tblPr>
      <w:tblGrid>
        <w:gridCol w:w="10376"/>
      </w:tblGrid>
      <w:tr>
        <w:trPr>
          <w:cantSplit/>
        </w:trPr>
        <w:tc>
          <w:tcPr>
            <w:tcW w:type="dxa" w:w="10376"/>
            <w:shd w:fill="F2F2F2"/>
            <w:vAlign w:val="center"/>
          </w:tcPr>
          <w:p>
            <w:pPr>
              <w:spacing w:after="20"/>
            </w:pPr>
            <w:r/>
            <w:r>
              <w:rPr>
                <w:rFonts w:ascii="Liberation Sans" w:hAnsi="Liberation Sans"/>
                <w:b/>
                <w:sz w:val="17"/>
              </w:rPr>
              <w:t xml:space="preserve">State definition — </w:t>
            </w:r>
            <w:r>
              <w:rPr>
                <w:rFonts w:ascii="Liberation Sans" w:hAnsi="Liberation Sans"/>
                <w:sz w:val="17"/>
              </w:rPr>
              <w:t>At protected-session time t: b_t = P(C_t = coercion | observations_1:t, graph_risk, user_baseline, prior actions/responses). The implementation may use a compact learned state updater rather than solving a full POMDP online.</w:t>
            </w:r>
          </w:p>
        </w:tc>
      </w:tr>
    </w:tbl>
    <w:p>
      <w:pPr>
        <w:pStyle w:val="Tiny"/>
      </w:pPr>
    </w:p>
    <w:p>
      <w:pPr>
        <w:pStyle w:val="Heading2"/>
      </w:pPr>
      <w:r>
        <w:t>Belief state contents</w:t>
      </w:r>
    </w:p>
    <w:tbl>
      <w:tblPr>
        <w:tblStyle w:val="TableGrid"/>
        <w:tblW w:type="auto" w:w="0"/>
        <w:jc w:val="center"/>
        <w:tblLook w:firstColumn="1" w:firstRow="1" w:lastColumn="0" w:lastRow="0" w:noHBand="0" w:noVBand="1" w:val="04A0"/>
      </w:tblPr>
      <w:tblGrid>
        <w:gridCol w:w="5188"/>
        <w:gridCol w:w="5188"/>
      </w:tblGrid>
      <w:tr>
        <w:trPr>
          <w:cantSplit/>
        </w:trPr>
        <w:tc>
          <w:tcPr>
            <w:tcW w:type="dxa" w:w="2438"/>
            <w:shd w:fill="E7E6E6"/>
            <w:vAlign w:val="center"/>
          </w:tcPr>
          <w:p>
            <w:pPr>
              <w:spacing w:after="0" w:line="240" w:lineRule="auto"/>
            </w:pPr>
            <w:r/>
            <w:r>
              <w:rPr>
                <w:rFonts w:ascii="Liberation Sans" w:hAnsi="Liberation Sans"/>
                <w:b/>
                <w:sz w:val="15"/>
              </w:rPr>
              <w:t>Component</w:t>
            </w:r>
          </w:p>
        </w:tc>
        <w:tc>
          <w:tcPr>
            <w:tcW w:type="dxa" w:w="7370"/>
            <w:shd w:fill="E7E6E6"/>
            <w:vAlign w:val="center"/>
          </w:tcPr>
          <w:p>
            <w:pPr>
              <w:spacing w:after="0" w:line="240" w:lineRule="auto"/>
            </w:pPr>
            <w:r/>
            <w:r>
              <w:rPr>
                <w:rFonts w:ascii="Liberation Sans" w:hAnsi="Liberation Sans"/>
                <w:b/>
                <w:sz w:val="15"/>
              </w:rPr>
              <w:t>Example</w:t>
            </w:r>
          </w:p>
        </w:tc>
      </w:tr>
      <w:tr>
        <w:trPr>
          <w:cantSplit/>
        </w:trPr>
        <w:tc>
          <w:tcPr>
            <w:tcW w:type="dxa" w:w="2438"/>
            <w:vAlign w:val="center"/>
          </w:tcPr>
          <w:p>
            <w:pPr>
              <w:spacing w:after="0" w:line="240" w:lineRule="auto"/>
            </w:pPr>
            <w:r/>
            <w:r>
              <w:rPr>
                <w:rFonts w:ascii="Liberation Sans" w:hAnsi="Liberation Sans"/>
                <w:b w:val="0"/>
                <w:sz w:val="15"/>
              </w:rPr>
              <w:t>Coercion probability</w:t>
            </w:r>
          </w:p>
        </w:tc>
        <w:tc>
          <w:tcPr>
            <w:tcW w:type="dxa" w:w="7370"/>
            <w:vAlign w:val="center"/>
          </w:tcPr>
          <w:p>
            <w:pPr>
              <w:spacing w:after="0" w:line="240" w:lineRule="auto"/>
            </w:pPr>
            <w:r/>
            <w:r>
              <w:rPr>
                <w:rFonts w:ascii="Liberation Sans" w:hAnsi="Liberation Sans"/>
                <w:b w:val="0"/>
                <w:sz w:val="15"/>
              </w:rPr>
              <w:t>Calibrated probability or score bucket.</w:t>
            </w:r>
          </w:p>
        </w:tc>
      </w:tr>
      <w:tr>
        <w:trPr>
          <w:cantSplit/>
        </w:trPr>
        <w:tc>
          <w:tcPr>
            <w:tcW w:type="dxa" w:w="2438"/>
            <w:vAlign w:val="center"/>
          </w:tcPr>
          <w:p>
            <w:pPr>
              <w:spacing w:after="0" w:line="240" w:lineRule="auto"/>
            </w:pPr>
            <w:r/>
            <w:r>
              <w:rPr>
                <w:rFonts w:ascii="Liberation Sans" w:hAnsi="Liberation Sans"/>
                <w:b w:val="0"/>
                <w:sz w:val="15"/>
              </w:rPr>
              <w:t>Epistemic / OOD flag</w:t>
            </w:r>
          </w:p>
        </w:tc>
        <w:tc>
          <w:tcPr>
            <w:tcW w:type="dxa" w:w="7370"/>
            <w:vAlign w:val="center"/>
          </w:tcPr>
          <w:p>
            <w:pPr>
              <w:spacing w:after="0" w:line="240" w:lineRule="auto"/>
            </w:pPr>
            <w:r/>
            <w:r>
              <w:rPr>
                <w:rFonts w:ascii="Liberation Sans" w:hAnsi="Liberation Sans"/>
                <w:b w:val="0"/>
                <w:sz w:val="15"/>
              </w:rPr>
              <w:t>Signals outside training support or incompatible feature patterns.</w:t>
            </w:r>
          </w:p>
        </w:tc>
      </w:tr>
      <w:tr>
        <w:trPr>
          <w:cantSplit/>
        </w:trPr>
        <w:tc>
          <w:tcPr>
            <w:tcW w:type="dxa" w:w="2438"/>
            <w:vAlign w:val="center"/>
          </w:tcPr>
          <w:p>
            <w:pPr>
              <w:spacing w:after="0" w:line="240" w:lineRule="auto"/>
            </w:pPr>
            <w:r/>
            <w:r>
              <w:rPr>
                <w:rFonts w:ascii="Liberation Sans" w:hAnsi="Liberation Sans"/>
                <w:b w:val="0"/>
                <w:sz w:val="15"/>
              </w:rPr>
              <w:t>Evidence vector</w:t>
            </w:r>
          </w:p>
        </w:tc>
        <w:tc>
          <w:tcPr>
            <w:tcW w:type="dxa" w:w="7370"/>
            <w:vAlign w:val="center"/>
          </w:tcPr>
          <w:p>
            <w:pPr>
              <w:spacing w:after="0" w:line="240" w:lineRule="auto"/>
            </w:pPr>
            <w:r/>
            <w:r>
              <w:rPr>
                <w:rFonts w:ascii="Liberation Sans" w:hAnsi="Liberation Sans"/>
                <w:b w:val="0"/>
                <w:sz w:val="15"/>
              </w:rPr>
              <w:t>Local expert outputs + graph token + intervention response.</w:t>
            </w:r>
          </w:p>
        </w:tc>
      </w:tr>
      <w:tr>
        <w:trPr>
          <w:cantSplit/>
        </w:trPr>
        <w:tc>
          <w:tcPr>
            <w:tcW w:type="dxa" w:w="2438"/>
            <w:vAlign w:val="center"/>
          </w:tcPr>
          <w:p>
            <w:pPr>
              <w:spacing w:after="0" w:line="240" w:lineRule="auto"/>
            </w:pPr>
            <w:r/>
            <w:r>
              <w:rPr>
                <w:rFonts w:ascii="Liberation Sans" w:hAnsi="Liberation Sans"/>
                <w:b w:val="0"/>
                <w:sz w:val="15"/>
              </w:rPr>
              <w:t>Missing-data mask</w:t>
            </w:r>
          </w:p>
        </w:tc>
        <w:tc>
          <w:tcPr>
            <w:tcW w:type="dxa" w:w="7370"/>
            <w:vAlign w:val="center"/>
          </w:tcPr>
          <w:p>
            <w:pPr>
              <w:spacing w:after="0" w:line="240" w:lineRule="auto"/>
            </w:pPr>
            <w:r/>
            <w:r>
              <w:rPr>
                <w:rFonts w:ascii="Liberation Sans" w:hAnsi="Liberation Sans"/>
                <w:b w:val="0"/>
                <w:sz w:val="15"/>
              </w:rPr>
              <w:t>Graph unavailable, integrity verdict unevaluated, insufficient baseline history.</w:t>
            </w:r>
          </w:p>
        </w:tc>
      </w:tr>
      <w:tr>
        <w:trPr>
          <w:cantSplit/>
        </w:trPr>
        <w:tc>
          <w:tcPr>
            <w:tcW w:type="dxa" w:w="2438"/>
            <w:vAlign w:val="center"/>
          </w:tcPr>
          <w:p>
            <w:pPr>
              <w:spacing w:after="0" w:line="240" w:lineRule="auto"/>
            </w:pPr>
            <w:r/>
            <w:r>
              <w:rPr>
                <w:rFonts w:ascii="Liberation Sans" w:hAnsi="Liberation Sans"/>
                <w:b w:val="0"/>
                <w:sz w:val="15"/>
              </w:rPr>
              <w:t>Time decay</w:t>
            </w:r>
          </w:p>
        </w:tc>
        <w:tc>
          <w:tcPr>
            <w:tcW w:type="dxa" w:w="7370"/>
            <w:vAlign w:val="center"/>
          </w:tcPr>
          <w:p>
            <w:pPr>
              <w:spacing w:after="0" w:line="240" w:lineRule="auto"/>
            </w:pPr>
            <w:r/>
            <w:r>
              <w:rPr>
                <w:rFonts w:ascii="Liberation Sans" w:hAnsi="Liberation Sans"/>
                <w:b w:val="0"/>
                <w:sz w:val="15"/>
              </w:rPr>
              <w:t>Older weak evidence decays; immediate protected-session evidence dominates.</w:t>
            </w:r>
          </w:p>
        </w:tc>
      </w:tr>
      <w:tr>
        <w:trPr>
          <w:cantSplit/>
        </w:trPr>
        <w:tc>
          <w:tcPr>
            <w:tcW w:type="dxa" w:w="2438"/>
            <w:vAlign w:val="center"/>
          </w:tcPr>
          <w:p>
            <w:pPr>
              <w:spacing w:after="0" w:line="240" w:lineRule="auto"/>
            </w:pPr>
            <w:r/>
            <w:r>
              <w:rPr>
                <w:rFonts w:ascii="Liberation Sans" w:hAnsi="Liberation Sans"/>
                <w:b w:val="0"/>
                <w:sz w:val="15"/>
              </w:rPr>
              <w:t>Action history</w:t>
            </w:r>
          </w:p>
        </w:tc>
        <w:tc>
          <w:tcPr>
            <w:tcW w:type="dxa" w:w="7370"/>
            <w:vAlign w:val="center"/>
          </w:tcPr>
          <w:p>
            <w:pPr>
              <w:spacing w:after="0" w:line="240" w:lineRule="auto"/>
            </w:pPr>
            <w:r/>
            <w:r>
              <w:rPr>
                <w:rFonts w:ascii="Liberation Sans" w:hAnsi="Liberation Sans"/>
                <w:b w:val="0"/>
                <w:sz w:val="15"/>
              </w:rPr>
              <w:t>Previous question/close-risk/cooling actions and user response.</w:t>
            </w:r>
          </w:p>
        </w:tc>
      </w:tr>
    </w:tbl>
    <w:p>
      <w:pPr>
        <w:pStyle w:val="Tiny"/>
      </w:pPr>
    </w:p>
    <w:p>
      <w:pPr>
        <w:pStyle w:val="Heading2"/>
      </w:pPr>
      <w:r>
        <w:t>Update rule</w:t>
      </w:r>
    </w:p>
    <w:p>
      <w:r>
        <w:t>For the MVP, implement a small GRU/TCN or Bayesian/logit updater over typed event embeddings. The product abstraction is more important than pretending to have an exact psychological model: each new event updates belief, and no isolated event is labelled “scam.” A sequence such as communication-active → new beneficiary → large deviation → capture/control risk → instructed-response pattern should accumulate risk more strongly than any one feature alone.</w:t>
      </w:r>
    </w:p>
    <w:p>
      <w:pPr>
        <w:pStyle w:val="Heading2"/>
      </w:pPr>
      <w:r>
        <w:t>Why this matters in Q&amp;A</w:t>
      </w:r>
    </w:p>
    <w:p>
      <w:r>
        <w:t>The belief-state framing explains why Vyuha is not a rules engine and why temporal ML exists in the architecture. It also supports adaptive questioning: an intervention creates a new observation, so friction can deliberately reduce uncertainty. That makes the OODA loop functional rather than decorative.</w:t>
      </w:r>
    </w:p>
    <w:p>
      <w:r>
        <w:br w:type="page"/>
      </w:r>
    </w:p>
    <w:p>
      <w:pPr>
        <w:spacing w:after="0"/>
      </w:pPr>
      <w:r>
        <w:rPr>
          <w:b/>
          <w:sz w:val="15"/>
        </w:rPr>
        <w:t>GRAPH INTELLIGENCE</w:t>
      </w:r>
    </w:p>
    <w:p>
      <w:pPr>
        <w:pStyle w:val="Heading1"/>
      </w:pPr>
      <w:r>
        <w:t>Heterogeneous Spatio-Temporal GNN: Data Model and Rationale</w:t>
      </w:r>
    </w:p>
    <w:p>
      <w:pPr>
        <w:jc w:val="center"/>
      </w:pPr>
      <w:r>
        <w:drawing>
          <wp:inline xmlns:a="http://schemas.openxmlformats.org/drawingml/2006/main" xmlns:pic="http://schemas.openxmlformats.org/drawingml/2006/picture">
            <wp:extent cx="6048000" cy="3418435"/>
            <wp:docPr id="4" name="Picture 4"/>
            <wp:cNvGraphicFramePr>
              <a:graphicFrameLocks noChangeAspect="1"/>
            </wp:cNvGraphicFramePr>
            <a:graphic>
              <a:graphicData uri="http://schemas.openxmlformats.org/drawingml/2006/picture">
                <pic:pic>
                  <pic:nvPicPr>
                    <pic:cNvPr id="0" name="hetero_graph.png"/>
                    <pic:cNvPicPr/>
                  </pic:nvPicPr>
                  <pic:blipFill>
                    <a:blip r:embed="rId13"/>
                    <a:stretch>
                      <a:fillRect/>
                    </a:stretch>
                  </pic:blipFill>
                  <pic:spPr>
                    <a:xfrm>
                      <a:off x="0" y="0"/>
                      <a:ext cx="6048000" cy="3418435"/>
                    </a:xfrm>
                    <a:prstGeom prst="rect"/>
                  </pic:spPr>
                </pic:pic>
              </a:graphicData>
            </a:graphic>
          </wp:inline>
        </w:drawing>
      </w:r>
    </w:p>
    <w:p>
      <w:pPr>
        <w:pStyle w:val="Caption"/>
        <w:jc w:val="center"/>
      </w:pPr>
      <w:r>
        <w:t>Figure 4. Example heterogeneous temporal graph. Production node/edge availability varies by institution and policy.</w:t>
      </w:r>
    </w:p>
    <w:p>
      <w:pPr>
        <w:pStyle w:val="Heading2"/>
      </w:pPr>
      <w:r>
        <w:t>Why heterogeneous</w:t>
      </w:r>
    </w:p>
    <w:p>
      <w:r>
        <w:t>Fraud networks are not naturally a single-type account-to-account graph. Risk can emerge from relationships among accounts, VPAs, devices, phones, merchants, IP/network indicators and complaint entities. Heterogeneous graph models use relation/type-specific parameters; HGT is a published architecture for typed heterogeneous graphs and includes temporal encoding ideas. [EXT; Ref. 19]</w:t>
      </w:r>
    </w:p>
    <w:p>
      <w:pPr>
        <w:pStyle w:val="Heading2"/>
      </w:pPr>
      <w:r>
        <w:t>Why temporal</w:t>
      </w:r>
    </w:p>
    <w:p>
      <w:r>
        <w:t>Mule behaviour is dynamic: fan-in/fan-out bursts, newly activated accounts, short dwell time and rapidly changing neighborhood patterns are temporal phenomena. TGN and TGAT are research foundations for event-time graph learning and inductive temporal representations. [EXT; Refs. 20–21]</w:t>
      </w:r>
    </w:p>
    <w:p>
      <w:pPr>
        <w:pStyle w:val="Heading2"/>
      </w:pPr>
      <w:r>
        <w:t>Why fraud-specific robustness</w:t>
      </w:r>
    </w:p>
    <w:p>
      <w:r>
        <w:t>Fraudsters camouflage by interacting with benign nodes and changing relations. CARE-GNN demonstrates relation-aware and camouflage-resistant design ideas for fraud graphs. Vyuha does not claim to reproduce CARE-GNN exactly; it borrows the requirement that neighbor selection and relation aggregation be robust to adversarially benign-looking connectivity. [EXT; Ref. 22]</w:t>
      </w:r>
    </w:p>
    <w:tbl>
      <w:tblPr>
        <w:tblStyle w:val="TableGrid"/>
        <w:tblW w:type="auto" w:w="0"/>
        <w:jc w:val="center"/>
        <w:tblLook w:firstColumn="1" w:firstRow="1" w:lastColumn="0" w:lastRow="0" w:noHBand="0" w:noVBand="1" w:val="04A0"/>
      </w:tblPr>
      <w:tblGrid>
        <w:gridCol w:w="5188"/>
        <w:gridCol w:w="5188"/>
      </w:tblGrid>
      <w:tr>
        <w:trPr>
          <w:cantSplit/>
        </w:trPr>
        <w:tc>
          <w:tcPr>
            <w:tcW w:type="dxa" w:w="1984"/>
            <w:shd w:fill="E7E6E6"/>
            <w:vAlign w:val="center"/>
          </w:tcPr>
          <w:p>
            <w:pPr>
              <w:spacing w:after="0" w:line="240" w:lineRule="auto"/>
            </w:pPr>
            <w:r/>
            <w:r>
              <w:rPr>
                <w:rFonts w:ascii="Liberation Sans" w:hAnsi="Liberation Sans"/>
                <w:b/>
                <w:sz w:val="14"/>
              </w:rPr>
              <w:t>Node type</w:t>
            </w:r>
          </w:p>
        </w:tc>
        <w:tc>
          <w:tcPr>
            <w:tcW w:type="dxa" w:w="7824"/>
            <w:shd w:fill="E7E6E6"/>
            <w:vAlign w:val="center"/>
          </w:tcPr>
          <w:p>
            <w:pPr>
              <w:spacing w:after="0" w:line="240" w:lineRule="auto"/>
            </w:pPr>
            <w:r/>
            <w:r>
              <w:rPr>
                <w:rFonts w:ascii="Liberation Sans" w:hAnsi="Liberation Sans"/>
                <w:b/>
                <w:sz w:val="14"/>
              </w:rPr>
              <w:t>Example features</w:t>
            </w:r>
          </w:p>
        </w:tc>
      </w:tr>
      <w:tr>
        <w:trPr>
          <w:cantSplit/>
        </w:trPr>
        <w:tc>
          <w:tcPr>
            <w:tcW w:type="dxa" w:w="1984"/>
            <w:vAlign w:val="center"/>
          </w:tcPr>
          <w:p>
            <w:pPr>
              <w:spacing w:after="0" w:line="240" w:lineRule="auto"/>
            </w:pPr>
            <w:r/>
            <w:r>
              <w:rPr>
                <w:rFonts w:ascii="Liberation Sans" w:hAnsi="Liberation Sans"/>
                <w:b w:val="0"/>
                <w:sz w:val="14"/>
              </w:rPr>
              <w:t>Account</w:t>
            </w:r>
          </w:p>
        </w:tc>
        <w:tc>
          <w:tcPr>
            <w:tcW w:type="dxa" w:w="7824"/>
            <w:vAlign w:val="center"/>
          </w:tcPr>
          <w:p>
            <w:pPr>
              <w:spacing w:after="0" w:line="240" w:lineRule="auto"/>
            </w:pPr>
            <w:r/>
            <w:r>
              <w:rPr>
                <w:rFonts w:ascii="Liberation Sans" w:hAnsi="Liberation Sans"/>
                <w:b w:val="0"/>
                <w:sz w:val="14"/>
              </w:rPr>
              <w:t>age, KYC tier, inflow/outflow aggregates, dormancy/reactivation, risk history</w:t>
            </w:r>
          </w:p>
        </w:tc>
      </w:tr>
      <w:tr>
        <w:trPr>
          <w:cantSplit/>
        </w:trPr>
        <w:tc>
          <w:tcPr>
            <w:tcW w:type="dxa" w:w="1984"/>
            <w:vAlign w:val="center"/>
          </w:tcPr>
          <w:p>
            <w:pPr>
              <w:spacing w:after="0" w:line="240" w:lineRule="auto"/>
            </w:pPr>
            <w:r/>
            <w:r>
              <w:rPr>
                <w:rFonts w:ascii="Liberation Sans" w:hAnsi="Liberation Sans"/>
                <w:b w:val="0"/>
                <w:sz w:val="14"/>
              </w:rPr>
              <w:t>VPA</w:t>
            </w:r>
          </w:p>
        </w:tc>
        <w:tc>
          <w:tcPr>
            <w:tcW w:type="dxa" w:w="7824"/>
            <w:vAlign w:val="center"/>
          </w:tcPr>
          <w:p>
            <w:pPr>
              <w:spacing w:after="0" w:line="240" w:lineRule="auto"/>
            </w:pPr>
            <w:r/>
            <w:r>
              <w:rPr>
                <w:rFonts w:ascii="Liberation Sans" w:hAnsi="Liberation Sans"/>
                <w:b w:val="0"/>
                <w:sz w:val="14"/>
              </w:rPr>
              <w:t>age, linked account count, merchant/person type, recurrence</w:t>
            </w:r>
          </w:p>
        </w:tc>
      </w:tr>
      <w:tr>
        <w:trPr>
          <w:cantSplit/>
        </w:trPr>
        <w:tc>
          <w:tcPr>
            <w:tcW w:type="dxa" w:w="1984"/>
            <w:vAlign w:val="center"/>
          </w:tcPr>
          <w:p>
            <w:pPr>
              <w:spacing w:after="0" w:line="240" w:lineRule="auto"/>
            </w:pPr>
            <w:r/>
            <w:r>
              <w:rPr>
                <w:rFonts w:ascii="Liberation Sans" w:hAnsi="Liberation Sans"/>
                <w:b w:val="0"/>
                <w:sz w:val="14"/>
              </w:rPr>
              <w:t>Device</w:t>
            </w:r>
          </w:p>
        </w:tc>
        <w:tc>
          <w:tcPr>
            <w:tcW w:type="dxa" w:w="7824"/>
            <w:vAlign w:val="center"/>
          </w:tcPr>
          <w:p>
            <w:pPr>
              <w:spacing w:after="0" w:line="240" w:lineRule="auto"/>
            </w:pPr>
            <w:r/>
            <w:r>
              <w:rPr>
                <w:rFonts w:ascii="Liberation Sans" w:hAnsi="Liberation Sans"/>
                <w:b w:val="0"/>
                <w:sz w:val="14"/>
              </w:rPr>
              <w:t>device pseudonym, account fan-out, integrity history</w:t>
            </w:r>
          </w:p>
        </w:tc>
      </w:tr>
      <w:tr>
        <w:trPr>
          <w:cantSplit/>
        </w:trPr>
        <w:tc>
          <w:tcPr>
            <w:tcW w:type="dxa" w:w="1984"/>
            <w:vAlign w:val="center"/>
          </w:tcPr>
          <w:p>
            <w:pPr>
              <w:spacing w:after="0" w:line="240" w:lineRule="auto"/>
            </w:pPr>
            <w:r/>
            <w:r>
              <w:rPr>
                <w:rFonts w:ascii="Liberation Sans" w:hAnsi="Liberation Sans"/>
                <w:b w:val="0"/>
                <w:sz w:val="14"/>
              </w:rPr>
              <w:t>Phone</w:t>
            </w:r>
          </w:p>
        </w:tc>
        <w:tc>
          <w:tcPr>
            <w:tcW w:type="dxa" w:w="7824"/>
            <w:vAlign w:val="center"/>
          </w:tcPr>
          <w:p>
            <w:pPr>
              <w:spacing w:after="0" w:line="240" w:lineRule="auto"/>
            </w:pPr>
            <w:r/>
            <w:r>
              <w:rPr>
                <w:rFonts w:ascii="Liberation Sans" w:hAnsi="Liberation Sans"/>
                <w:b w:val="0"/>
                <w:sz w:val="14"/>
              </w:rPr>
              <w:t>FRI/risk tier when institutionally permitted, account associations</w:t>
            </w:r>
          </w:p>
        </w:tc>
      </w:tr>
      <w:tr>
        <w:trPr>
          <w:cantSplit/>
        </w:trPr>
        <w:tc>
          <w:tcPr>
            <w:tcW w:type="dxa" w:w="1984"/>
            <w:vAlign w:val="center"/>
          </w:tcPr>
          <w:p>
            <w:pPr>
              <w:spacing w:after="0" w:line="240" w:lineRule="auto"/>
            </w:pPr>
            <w:r/>
            <w:r>
              <w:rPr>
                <w:rFonts w:ascii="Liberation Sans" w:hAnsi="Liberation Sans"/>
                <w:b w:val="0"/>
                <w:sz w:val="14"/>
              </w:rPr>
              <w:t>Merchant</w:t>
            </w:r>
          </w:p>
        </w:tc>
        <w:tc>
          <w:tcPr>
            <w:tcW w:type="dxa" w:w="7824"/>
            <w:vAlign w:val="center"/>
          </w:tcPr>
          <w:p>
            <w:pPr>
              <w:spacing w:after="0" w:line="240" w:lineRule="auto"/>
            </w:pPr>
            <w:r/>
            <w:r>
              <w:rPr>
                <w:rFonts w:ascii="Liberation Sans" w:hAnsi="Liberation Sans"/>
                <w:b w:val="0"/>
                <w:sz w:val="14"/>
              </w:rPr>
              <w:t>MCC/category, merchant age, refund/dispute profile</w:t>
            </w:r>
          </w:p>
        </w:tc>
      </w:tr>
      <w:tr>
        <w:trPr>
          <w:cantSplit/>
        </w:trPr>
        <w:tc>
          <w:tcPr>
            <w:tcW w:type="dxa" w:w="1984"/>
            <w:vAlign w:val="center"/>
          </w:tcPr>
          <w:p>
            <w:pPr>
              <w:spacing w:after="0" w:line="240" w:lineRule="auto"/>
            </w:pPr>
            <w:r/>
            <w:r>
              <w:rPr>
                <w:rFonts w:ascii="Liberation Sans" w:hAnsi="Liberation Sans"/>
                <w:b w:val="0"/>
                <w:sz w:val="14"/>
              </w:rPr>
              <w:t>IP / network indicator</w:t>
            </w:r>
          </w:p>
        </w:tc>
        <w:tc>
          <w:tcPr>
            <w:tcW w:type="dxa" w:w="7824"/>
            <w:vAlign w:val="center"/>
          </w:tcPr>
          <w:p>
            <w:pPr>
              <w:spacing w:after="0" w:line="240" w:lineRule="auto"/>
            </w:pPr>
            <w:r/>
            <w:r>
              <w:rPr>
                <w:rFonts w:ascii="Liberation Sans" w:hAnsi="Liberation Sans"/>
                <w:b w:val="0"/>
                <w:sz w:val="14"/>
              </w:rPr>
              <w:t>coarse ASN/risk bucket, account fan-out</w:t>
            </w:r>
          </w:p>
        </w:tc>
      </w:tr>
      <w:tr>
        <w:trPr>
          <w:cantSplit/>
        </w:trPr>
        <w:tc>
          <w:tcPr>
            <w:tcW w:type="dxa" w:w="1984"/>
            <w:vAlign w:val="center"/>
          </w:tcPr>
          <w:p>
            <w:pPr>
              <w:spacing w:after="0" w:line="240" w:lineRule="auto"/>
            </w:pPr>
            <w:r/>
            <w:r>
              <w:rPr>
                <w:rFonts w:ascii="Liberation Sans" w:hAnsi="Liberation Sans"/>
                <w:b w:val="0"/>
                <w:sz w:val="14"/>
              </w:rPr>
              <w:t>Complaint / fraud label</w:t>
            </w:r>
          </w:p>
        </w:tc>
        <w:tc>
          <w:tcPr>
            <w:tcW w:type="dxa" w:w="7824"/>
            <w:vAlign w:val="center"/>
          </w:tcPr>
          <w:p>
            <w:pPr>
              <w:spacing w:after="0" w:line="240" w:lineRule="auto"/>
            </w:pPr>
            <w:r/>
            <w:r>
              <w:rPr>
                <w:rFonts w:ascii="Liberation Sans" w:hAnsi="Liberation Sans"/>
                <w:b w:val="0"/>
                <w:sz w:val="14"/>
              </w:rPr>
              <w:t>time, linked entities, disposition status</w:t>
            </w:r>
          </w:p>
        </w:tc>
      </w:tr>
    </w:tbl>
    <w:p>
      <w:pPr>
        <w:pStyle w:val="Tiny"/>
      </w:pPr>
    </w:p>
    <w:p>
      <w:r>
        <w:br w:type="page"/>
      </w:r>
    </w:p>
    <w:p>
      <w:pPr>
        <w:spacing w:after="0"/>
      </w:pPr>
      <w:r>
        <w:rPr>
          <w:b/>
          <w:sz w:val="15"/>
        </w:rPr>
        <w:t>ST-GNN DETAILS</w:t>
      </w:r>
    </w:p>
    <w:p>
      <w:pPr>
        <w:pStyle w:val="Heading1"/>
      </w:pPr>
      <w:r>
        <w:t>Graph Construction, Temporal Message Passing and Risk Token</w:t>
      </w:r>
    </w:p>
    <w:p>
      <w:r>
        <w:t>The institution ingests event-time edges into a typed graph. Each event is represented as `(src_type, src_id, relation, dst_type, dst_id, timestamp, edge_features)`. The model must support previously unseen nodes and preserve event order. A practical architecture for the prototype is: typed feature encoders → relation-specific projection/attention → temporal encoding/memory → neighborhood aggregation → beneficiary classifier + topology embedding.</w:t>
      </w:r>
    </w:p>
    <w:tbl>
      <w:tblPr>
        <w:tblStyle w:val="TableGrid"/>
        <w:tblW w:type="auto" w:w="0"/>
        <w:jc w:val="center"/>
        <w:tblLook w:firstColumn="1" w:firstRow="1" w:lastColumn="0" w:lastRow="0" w:noHBand="0" w:noVBand="1" w:val="04A0"/>
      </w:tblPr>
      <w:tblGrid>
        <w:gridCol w:w="5188"/>
        <w:gridCol w:w="5188"/>
      </w:tblGrid>
      <w:tr>
        <w:trPr>
          <w:cantSplit/>
        </w:trPr>
        <w:tc>
          <w:tcPr>
            <w:tcW w:type="dxa" w:w="1928"/>
            <w:shd w:fill="E7E6E6"/>
            <w:vAlign w:val="center"/>
          </w:tcPr>
          <w:p>
            <w:pPr>
              <w:spacing w:after="0" w:line="240" w:lineRule="auto"/>
            </w:pPr>
            <w:r/>
            <w:r>
              <w:rPr>
                <w:rFonts w:ascii="Liberation Sans" w:hAnsi="Liberation Sans"/>
                <w:b/>
                <w:sz w:val="15"/>
              </w:rPr>
              <w:t>Layer</w:t>
            </w:r>
          </w:p>
        </w:tc>
        <w:tc>
          <w:tcPr>
            <w:tcW w:type="dxa" w:w="7880"/>
            <w:shd w:fill="E7E6E6"/>
            <w:vAlign w:val="center"/>
          </w:tcPr>
          <w:p>
            <w:pPr>
              <w:spacing w:after="0" w:line="240" w:lineRule="auto"/>
            </w:pPr>
            <w:r/>
            <w:r>
              <w:rPr>
                <w:rFonts w:ascii="Liberation Sans" w:hAnsi="Liberation Sans"/>
                <w:b/>
                <w:sz w:val="15"/>
              </w:rPr>
              <w:t>Prototype design</w:t>
            </w:r>
          </w:p>
        </w:tc>
      </w:tr>
      <w:tr>
        <w:trPr>
          <w:cantSplit/>
        </w:trPr>
        <w:tc>
          <w:tcPr>
            <w:tcW w:type="dxa" w:w="1928"/>
            <w:vAlign w:val="center"/>
          </w:tcPr>
          <w:p>
            <w:pPr>
              <w:spacing w:after="0" w:line="240" w:lineRule="auto"/>
            </w:pPr>
            <w:r/>
            <w:r>
              <w:rPr>
                <w:rFonts w:ascii="Liberation Sans" w:hAnsi="Liberation Sans"/>
                <w:b w:val="0"/>
                <w:sz w:val="15"/>
              </w:rPr>
              <w:t>Type encoders</w:t>
            </w:r>
          </w:p>
        </w:tc>
        <w:tc>
          <w:tcPr>
            <w:tcW w:type="dxa" w:w="7880"/>
            <w:vAlign w:val="center"/>
          </w:tcPr>
          <w:p>
            <w:pPr>
              <w:spacing w:after="0" w:line="240" w:lineRule="auto"/>
            </w:pPr>
            <w:r/>
            <w:r>
              <w:rPr>
                <w:rFonts w:ascii="Liberation Sans" w:hAnsi="Liberation Sans"/>
                <w:b w:val="0"/>
                <w:sz w:val="15"/>
              </w:rPr>
              <w:t>Separate MLP embeddings for Account/VPA/Device/Phone/Merchant/IP/Complaint feature spaces.</w:t>
            </w:r>
          </w:p>
        </w:tc>
      </w:tr>
      <w:tr>
        <w:trPr>
          <w:cantSplit/>
        </w:trPr>
        <w:tc>
          <w:tcPr>
            <w:tcW w:type="dxa" w:w="1928"/>
            <w:vAlign w:val="center"/>
          </w:tcPr>
          <w:p>
            <w:pPr>
              <w:spacing w:after="0" w:line="240" w:lineRule="auto"/>
            </w:pPr>
            <w:r/>
            <w:r>
              <w:rPr>
                <w:rFonts w:ascii="Liberation Sans" w:hAnsi="Liberation Sans"/>
                <w:b w:val="0"/>
                <w:sz w:val="15"/>
              </w:rPr>
              <w:t>Temporal encoder</w:t>
            </w:r>
          </w:p>
        </w:tc>
        <w:tc>
          <w:tcPr>
            <w:tcW w:type="dxa" w:w="7880"/>
            <w:vAlign w:val="center"/>
          </w:tcPr>
          <w:p>
            <w:pPr>
              <w:spacing w:after="0" w:line="240" w:lineRule="auto"/>
            </w:pPr>
            <w:r/>
            <w:r>
              <w:rPr>
                <w:rFonts w:ascii="Liberation Sans" w:hAnsi="Liberation Sans"/>
                <w:b w:val="0"/>
                <w:sz w:val="15"/>
              </w:rPr>
              <w:t>Relative time encoding plus recent-event memory; TGN/TGAT-inspired.</w:t>
            </w:r>
          </w:p>
        </w:tc>
      </w:tr>
      <w:tr>
        <w:trPr>
          <w:cantSplit/>
        </w:trPr>
        <w:tc>
          <w:tcPr>
            <w:tcW w:type="dxa" w:w="1928"/>
            <w:vAlign w:val="center"/>
          </w:tcPr>
          <w:p>
            <w:pPr>
              <w:spacing w:after="0" w:line="240" w:lineRule="auto"/>
            </w:pPr>
            <w:r/>
            <w:r>
              <w:rPr>
                <w:rFonts w:ascii="Liberation Sans" w:hAnsi="Liberation Sans"/>
                <w:b w:val="0"/>
                <w:sz w:val="15"/>
              </w:rPr>
              <w:t>Relation operator</w:t>
            </w:r>
          </w:p>
        </w:tc>
        <w:tc>
          <w:tcPr>
            <w:tcW w:type="dxa" w:w="7880"/>
            <w:vAlign w:val="center"/>
          </w:tcPr>
          <w:p>
            <w:pPr>
              <w:spacing w:after="0" w:line="240" w:lineRule="auto"/>
            </w:pPr>
            <w:r/>
            <w:r>
              <w:rPr>
                <w:rFonts w:ascii="Liberation Sans" w:hAnsi="Liberation Sans"/>
                <w:b w:val="0"/>
                <w:sz w:val="15"/>
              </w:rPr>
              <w:t>HGT-style type/relation-specific attention or PyG HeteroConv with per-relation GraphSAGE/GAT.</w:t>
            </w:r>
          </w:p>
        </w:tc>
      </w:tr>
      <w:tr>
        <w:trPr>
          <w:cantSplit/>
        </w:trPr>
        <w:tc>
          <w:tcPr>
            <w:tcW w:type="dxa" w:w="1928"/>
            <w:vAlign w:val="center"/>
          </w:tcPr>
          <w:p>
            <w:pPr>
              <w:spacing w:after="0" w:line="240" w:lineRule="auto"/>
            </w:pPr>
            <w:r/>
            <w:r>
              <w:rPr>
                <w:rFonts w:ascii="Liberation Sans" w:hAnsi="Liberation Sans"/>
                <w:b w:val="0"/>
                <w:sz w:val="15"/>
              </w:rPr>
              <w:t>Fraud head</w:t>
            </w:r>
          </w:p>
        </w:tc>
        <w:tc>
          <w:tcPr>
            <w:tcW w:type="dxa" w:w="7880"/>
            <w:vAlign w:val="center"/>
          </w:tcPr>
          <w:p>
            <w:pPr>
              <w:spacing w:after="0" w:line="240" w:lineRule="auto"/>
            </w:pPr>
            <w:r/>
            <w:r>
              <w:rPr>
                <w:rFonts w:ascii="Liberation Sans" w:hAnsi="Liberation Sans"/>
                <w:b w:val="0"/>
                <w:sz w:val="15"/>
              </w:rPr>
              <w:t>Beneficiary node risk, edge/transaction risk, and optional suspicious-cluster embedding.</w:t>
            </w:r>
          </w:p>
        </w:tc>
      </w:tr>
      <w:tr>
        <w:trPr>
          <w:cantSplit/>
        </w:trPr>
        <w:tc>
          <w:tcPr>
            <w:tcW w:type="dxa" w:w="1928"/>
            <w:vAlign w:val="center"/>
          </w:tcPr>
          <w:p>
            <w:pPr>
              <w:spacing w:after="0" w:line="240" w:lineRule="auto"/>
            </w:pPr>
            <w:r/>
            <w:r>
              <w:rPr>
                <w:rFonts w:ascii="Liberation Sans" w:hAnsi="Liberation Sans"/>
                <w:b w:val="0"/>
                <w:sz w:val="15"/>
              </w:rPr>
              <w:t>Calibration</w:t>
            </w:r>
          </w:p>
        </w:tc>
        <w:tc>
          <w:tcPr>
            <w:tcW w:type="dxa" w:w="7880"/>
            <w:vAlign w:val="center"/>
          </w:tcPr>
          <w:p>
            <w:pPr>
              <w:spacing w:after="0" w:line="240" w:lineRule="auto"/>
            </w:pPr>
            <w:r/>
            <w:r>
              <w:rPr>
                <w:rFonts w:ascii="Liberation Sans" w:hAnsi="Liberation Sans"/>
                <w:b w:val="0"/>
                <w:sz w:val="15"/>
              </w:rPr>
              <w:t>Held-out temperature/isotonic calibration before emitting risk token.</w:t>
            </w:r>
          </w:p>
        </w:tc>
      </w:tr>
      <w:tr>
        <w:trPr>
          <w:cantSplit/>
        </w:trPr>
        <w:tc>
          <w:tcPr>
            <w:tcW w:type="dxa" w:w="1928"/>
            <w:vAlign w:val="center"/>
          </w:tcPr>
          <w:p>
            <w:pPr>
              <w:spacing w:after="0" w:line="240" w:lineRule="auto"/>
            </w:pPr>
            <w:r/>
            <w:r>
              <w:rPr>
                <w:rFonts w:ascii="Liberation Sans" w:hAnsi="Liberation Sans"/>
                <w:b w:val="0"/>
                <w:sz w:val="15"/>
              </w:rPr>
              <w:t>Explanation</w:t>
            </w:r>
          </w:p>
        </w:tc>
        <w:tc>
          <w:tcPr>
            <w:tcW w:type="dxa" w:w="7880"/>
            <w:vAlign w:val="center"/>
          </w:tcPr>
          <w:p>
            <w:pPr>
              <w:spacing w:after="0" w:line="240" w:lineRule="auto"/>
            </w:pPr>
            <w:r/>
            <w:r>
              <w:rPr>
                <w:rFonts w:ascii="Liberation Sans" w:hAnsi="Liberation Sans"/>
                <w:b w:val="0"/>
                <w:sz w:val="15"/>
              </w:rPr>
              <w:t>Top relation codes / motif indicators, not a raw neighbor dump to the device.</w:t>
            </w:r>
          </w:p>
        </w:tc>
      </w:tr>
    </w:tbl>
    <w:p>
      <w:pPr>
        <w:pStyle w:val="Tiny"/>
      </w:pPr>
    </w:p>
    <w:p>
      <w:pPr>
        <w:pStyle w:val="Heading2"/>
      </w:pPr>
      <w:r>
        <w:t>Signed risk token</w:t>
      </w:r>
    </w:p>
    <w:p>
      <w:r>
        <w:t>The graph service returns a compact object such as: `issuer, beneficiary_hash, risk_bucket, calibrated_score, topology_codes[], model_version, issued_at, expires_at, nonce, signature`. The edge SDK verifies signature, freshness and nonce/session binding. This prevents replaying an old “safe” token for a different payment and avoids shipping sensitive graph neighborhoods to the handset.</w:t>
      </w:r>
    </w:p>
    <w:p>
      <w:pPr>
        <w:pStyle w:val="Heading2"/>
      </w:pPr>
      <w:r>
        <w:t>Loss and sampling</w:t>
      </w:r>
    </w:p>
    <w:p>
      <w:r>
        <w:t>Fraud labels are highly imbalanced and delayed. Use time-based train/validation/test splits, negative sampling that preserves realistic degree distributions, focal/class-weighted objectives where justified, and evaluation by precision-recall rather than raw accuracy. The graph model should be tested against camouflage perturbations: adding benign edges, splitting fan-out across mules, delaying bursts and using new nodes.</w:t>
      </w:r>
    </w:p>
    <w:tbl>
      <w:tblPr>
        <w:tblStyle w:val="TableGrid"/>
        <w:tblW w:type="auto" w:w="0"/>
        <w:jc w:val="center"/>
        <w:tblLook w:firstColumn="1" w:firstRow="1" w:lastColumn="0" w:lastRow="0" w:noHBand="0" w:noVBand="1" w:val="04A0"/>
      </w:tblPr>
      <w:tblGrid>
        <w:gridCol w:w="10376"/>
      </w:tblGrid>
      <w:tr>
        <w:trPr>
          <w:cantSplit/>
        </w:trPr>
        <w:tc>
          <w:tcPr>
            <w:tcW w:type="dxa" w:w="10376"/>
            <w:shd w:fill="F2F2F2"/>
            <w:vAlign w:val="center"/>
          </w:tcPr>
          <w:p>
            <w:pPr>
              <w:spacing w:after="20"/>
            </w:pPr>
            <w:r/>
            <w:r>
              <w:rPr>
                <w:rFonts w:ascii="Liberation Sans" w:hAnsi="Liberation Sans"/>
                <w:b/>
                <w:sz w:val="17"/>
              </w:rPr>
              <w:t xml:space="preserve">MuleHunter positioning — </w:t>
            </w:r>
            <w:r>
              <w:rPr>
                <w:rFonts w:ascii="Liberation Sans" w:hAnsi="Liberation Sans"/>
                <w:sz w:val="17"/>
              </w:rPr>
              <w:t>RBI describes MuleHunter.ai as a supervised ML model for near-real-time mule-account identification. Vyuha should present its ST-GNN as complementary research architecture, not claim that MuleHunter itself is graph-based unless RBI/RBIH publishes that detail. [EXT; Ref. 5]</w:t>
            </w:r>
          </w:p>
        </w:tc>
      </w:tr>
    </w:tbl>
    <w:p>
      <w:pPr>
        <w:pStyle w:val="Tiny"/>
      </w:pPr>
    </w:p>
    <w:p>
      <w:r>
        <w:br w:type="page"/>
      </w:r>
    </w:p>
    <w:p>
      <w:pPr>
        <w:spacing w:after="0"/>
      </w:pPr>
      <w:r>
        <w:rPr>
          <w:b/>
          <w:sz w:val="15"/>
        </w:rPr>
        <w:t>DECISION INTELLIGENCE</w:t>
      </w:r>
    </w:p>
    <w:p>
      <w:pPr>
        <w:pStyle w:val="Heading1"/>
      </w:pPr>
      <w:r>
        <w:t>Conformal / Selective Prediction and the Abstention Contract</w:t>
      </w:r>
    </w:p>
    <w:p>
      <w:r>
        <w:t>A payment-safety model should not be forced to pretend certainty. Vyuha therefore separates risk from confidence. Conformal prediction and selective classification motivate distribution-free or calibrated uncertainty sets and explicit abstention, especially in high-stakes settings. [EXT; Ref. 25] The MVP can implement a simpler split-conformal or calibrated confidence wrapper rather than an academically maximal method.</w:t>
      </w:r>
    </w:p>
    <w:tbl>
      <w:tblPr>
        <w:tblStyle w:val="TableGrid"/>
        <w:tblW w:type="auto" w:w="0"/>
        <w:jc w:val="center"/>
        <w:tblLook w:firstColumn="1" w:firstRow="1" w:lastColumn="0" w:lastRow="0" w:noHBand="0" w:noVBand="1" w:val="04A0"/>
      </w:tblPr>
      <w:tblGrid>
        <w:gridCol w:w="5188"/>
        <w:gridCol w:w="5188"/>
      </w:tblGrid>
      <w:tr>
        <w:trPr>
          <w:cantSplit/>
        </w:trPr>
        <w:tc>
          <w:tcPr>
            <w:tcW w:type="dxa" w:w="2948"/>
            <w:shd w:fill="E7E6E6"/>
            <w:vAlign w:val="center"/>
          </w:tcPr>
          <w:p>
            <w:pPr>
              <w:spacing w:after="0" w:line="240" w:lineRule="auto"/>
            </w:pPr>
            <w:r/>
            <w:r>
              <w:rPr>
                <w:rFonts w:ascii="Liberation Sans" w:hAnsi="Liberation Sans"/>
                <w:b/>
                <w:sz w:val="15"/>
              </w:rPr>
              <w:t>Model state</w:t>
            </w:r>
          </w:p>
        </w:tc>
        <w:tc>
          <w:tcPr>
            <w:tcW w:type="dxa" w:w="6860"/>
            <w:shd w:fill="E7E6E6"/>
            <w:vAlign w:val="center"/>
          </w:tcPr>
          <w:p>
            <w:pPr>
              <w:spacing w:after="0" w:line="240" w:lineRule="auto"/>
            </w:pPr>
            <w:r/>
            <w:r>
              <w:rPr>
                <w:rFonts w:ascii="Liberation Sans" w:hAnsi="Liberation Sans"/>
                <w:b/>
                <w:sz w:val="15"/>
              </w:rPr>
              <w:t>Required behavior</w:t>
            </w:r>
          </w:p>
        </w:tc>
      </w:tr>
      <w:tr>
        <w:trPr>
          <w:cantSplit/>
        </w:trPr>
        <w:tc>
          <w:tcPr>
            <w:tcW w:type="dxa" w:w="2948"/>
            <w:vAlign w:val="center"/>
          </w:tcPr>
          <w:p>
            <w:pPr>
              <w:spacing w:after="0" w:line="240" w:lineRule="auto"/>
            </w:pPr>
            <w:r/>
            <w:r>
              <w:rPr>
                <w:rFonts w:ascii="Liberation Sans" w:hAnsi="Liberation Sans"/>
                <w:b w:val="0"/>
                <w:sz w:val="15"/>
              </w:rPr>
              <w:t>Low risk + high confidence</w:t>
            </w:r>
          </w:p>
        </w:tc>
        <w:tc>
          <w:tcPr>
            <w:tcW w:type="dxa" w:w="6860"/>
            <w:vAlign w:val="center"/>
          </w:tcPr>
          <w:p>
            <w:pPr>
              <w:spacing w:after="0" w:line="240" w:lineRule="auto"/>
            </w:pPr>
            <w:r/>
            <w:r>
              <w:rPr>
                <w:rFonts w:ascii="Liberation Sans" w:hAnsi="Liberation Sans"/>
                <w:b w:val="0"/>
                <w:sz w:val="15"/>
              </w:rPr>
              <w:t>PASS silently.</w:t>
            </w:r>
          </w:p>
        </w:tc>
      </w:tr>
      <w:tr>
        <w:trPr>
          <w:cantSplit/>
        </w:trPr>
        <w:tc>
          <w:tcPr>
            <w:tcW w:type="dxa" w:w="2948"/>
            <w:vAlign w:val="center"/>
          </w:tcPr>
          <w:p>
            <w:pPr>
              <w:spacing w:after="0" w:line="240" w:lineRule="auto"/>
            </w:pPr>
            <w:r/>
            <w:r>
              <w:rPr>
                <w:rFonts w:ascii="Liberation Sans" w:hAnsi="Liberation Sans"/>
                <w:b w:val="0"/>
                <w:sz w:val="15"/>
              </w:rPr>
              <w:t>Medium risk + high confidence</w:t>
            </w:r>
          </w:p>
        </w:tc>
        <w:tc>
          <w:tcPr>
            <w:tcW w:type="dxa" w:w="6860"/>
            <w:vAlign w:val="center"/>
          </w:tcPr>
          <w:p>
            <w:pPr>
              <w:spacing w:after="0" w:line="240" w:lineRule="auto"/>
            </w:pPr>
            <w:r/>
            <w:r>
              <w:rPr>
                <w:rFonts w:ascii="Liberation Sans" w:hAnsi="Liberation Sans"/>
                <w:b w:val="0"/>
                <w:sz w:val="15"/>
              </w:rPr>
              <w:t>Select low-cost intervention that can reduce uncertainty.</w:t>
            </w:r>
          </w:p>
        </w:tc>
      </w:tr>
      <w:tr>
        <w:trPr>
          <w:cantSplit/>
        </w:trPr>
        <w:tc>
          <w:tcPr>
            <w:tcW w:type="dxa" w:w="2948"/>
            <w:vAlign w:val="center"/>
          </w:tcPr>
          <w:p>
            <w:pPr>
              <w:spacing w:after="0" w:line="240" w:lineRule="auto"/>
            </w:pPr>
            <w:r/>
            <w:r>
              <w:rPr>
                <w:rFonts w:ascii="Liberation Sans" w:hAnsi="Liberation Sans"/>
                <w:b w:val="0"/>
                <w:sz w:val="15"/>
              </w:rPr>
              <w:t>High risk + high confidence</w:t>
            </w:r>
          </w:p>
        </w:tc>
        <w:tc>
          <w:tcPr>
            <w:tcW w:type="dxa" w:w="6860"/>
            <w:vAlign w:val="center"/>
          </w:tcPr>
          <w:p>
            <w:pPr>
              <w:spacing w:after="0" w:line="240" w:lineRule="auto"/>
            </w:pPr>
            <w:r/>
            <w:r>
              <w:rPr>
                <w:rFonts w:ascii="Liberation Sans" w:hAnsi="Liberation Sans"/>
                <w:b w:val="0"/>
                <w:sz w:val="15"/>
              </w:rPr>
              <w:t>Strong intervention / isolation break; host may invoke step-up control.</w:t>
            </w:r>
          </w:p>
        </w:tc>
      </w:tr>
      <w:tr>
        <w:trPr>
          <w:cantSplit/>
        </w:trPr>
        <w:tc>
          <w:tcPr>
            <w:tcW w:type="dxa" w:w="2948"/>
            <w:vAlign w:val="center"/>
          </w:tcPr>
          <w:p>
            <w:pPr>
              <w:spacing w:after="0" w:line="240" w:lineRule="auto"/>
            </w:pPr>
            <w:r/>
            <w:r>
              <w:rPr>
                <w:rFonts w:ascii="Liberation Sans" w:hAnsi="Liberation Sans"/>
                <w:b w:val="0"/>
                <w:sz w:val="15"/>
              </w:rPr>
              <w:t>Any risk + low confidence / OOD</w:t>
            </w:r>
          </w:p>
        </w:tc>
        <w:tc>
          <w:tcPr>
            <w:tcW w:type="dxa" w:w="6860"/>
            <w:vAlign w:val="center"/>
          </w:tcPr>
          <w:p>
            <w:pPr>
              <w:spacing w:after="0" w:line="240" w:lineRule="auto"/>
            </w:pPr>
            <w:r/>
            <w:r>
              <w:rPr>
                <w:rFonts w:ascii="Liberation Sans" w:hAnsi="Liberation Sans"/>
                <w:b w:val="0"/>
                <w:sz w:val="15"/>
              </w:rPr>
              <w:t>ABSTAIN_AGGRESSIVE: do not infer “safe”; choose policy-defined conservative friction or institution fallback.</w:t>
            </w:r>
          </w:p>
        </w:tc>
      </w:tr>
      <w:tr>
        <w:trPr>
          <w:cantSplit/>
        </w:trPr>
        <w:tc>
          <w:tcPr>
            <w:tcW w:type="dxa" w:w="2948"/>
            <w:vAlign w:val="center"/>
          </w:tcPr>
          <w:p>
            <w:pPr>
              <w:spacing w:after="0" w:line="240" w:lineRule="auto"/>
            </w:pPr>
            <w:r/>
            <w:r>
              <w:rPr>
                <w:rFonts w:ascii="Liberation Sans" w:hAnsi="Liberation Sans"/>
                <w:b w:val="0"/>
                <w:sz w:val="15"/>
              </w:rPr>
              <w:t>Missing graph only</w:t>
            </w:r>
          </w:p>
        </w:tc>
        <w:tc>
          <w:tcPr>
            <w:tcW w:type="dxa" w:w="6860"/>
            <w:vAlign w:val="center"/>
          </w:tcPr>
          <w:p>
            <w:pPr>
              <w:spacing w:after="0" w:line="240" w:lineRule="auto"/>
            </w:pPr>
            <w:r/>
            <w:r>
              <w:rPr>
                <w:rFonts w:ascii="Liberation Sans" w:hAnsi="Liberation Sans"/>
                <w:b w:val="0"/>
                <w:sz w:val="15"/>
              </w:rPr>
              <w:t>Do not escalate solely because graph is absent; preserve local evidence and missing mask.</w:t>
            </w:r>
          </w:p>
        </w:tc>
      </w:tr>
      <w:tr>
        <w:trPr>
          <w:cantSplit/>
        </w:trPr>
        <w:tc>
          <w:tcPr>
            <w:tcW w:type="dxa" w:w="2948"/>
            <w:vAlign w:val="center"/>
          </w:tcPr>
          <w:p>
            <w:pPr>
              <w:spacing w:after="0" w:line="240" w:lineRule="auto"/>
            </w:pPr>
            <w:r/>
            <w:r>
              <w:rPr>
                <w:rFonts w:ascii="Liberation Sans" w:hAnsi="Liberation Sans"/>
                <w:b w:val="0"/>
                <w:sz w:val="15"/>
              </w:rPr>
              <w:t>Conflicting signals</w:t>
            </w:r>
          </w:p>
        </w:tc>
        <w:tc>
          <w:tcPr>
            <w:tcW w:type="dxa" w:w="6860"/>
            <w:vAlign w:val="center"/>
          </w:tcPr>
          <w:p>
            <w:pPr>
              <w:spacing w:after="0" w:line="240" w:lineRule="auto"/>
            </w:pPr>
            <w:r/>
            <w:r>
              <w:rPr>
                <w:rFonts w:ascii="Liberation Sans" w:hAnsi="Liberation Sans"/>
                <w:b w:val="0"/>
                <w:sz w:val="15"/>
              </w:rPr>
              <w:t>Prefer information-gathering action over irreversible action.</w:t>
            </w:r>
          </w:p>
        </w:tc>
      </w:tr>
    </w:tbl>
    <w:p>
      <w:pPr>
        <w:pStyle w:val="Tiny"/>
      </w:pPr>
    </w:p>
    <w:p>
      <w:pPr>
        <w:pStyle w:val="Heading2"/>
      </w:pPr>
      <w:r>
        <w:t>Calibration requirements</w:t>
      </w:r>
    </w:p>
    <w:p>
      <w:pPr>
        <w:ind w:left="215" w:hanging="125"/>
      </w:pPr>
      <w:r>
        <w:rPr>
          <w:b/>
        </w:rPr>
        <w:t xml:space="preserve">• </w:t>
      </w:r>
      <w:r>
        <w:t>Calibration split must be temporally separated from training data where possible.</w:t>
      </w:r>
    </w:p>
    <w:p>
      <w:pPr>
        <w:ind w:left="215" w:hanging="125"/>
      </w:pPr>
      <w:r>
        <w:rPr>
          <w:b/>
        </w:rPr>
        <w:t xml:space="preserve">• </w:t>
      </w:r>
      <w:r>
        <w:t>Report reliability diagram / expected calibration error and classwise precision-recall.</w:t>
      </w:r>
    </w:p>
    <w:p>
      <w:pPr>
        <w:ind w:left="215" w:hanging="125"/>
      </w:pPr>
      <w:r>
        <w:rPr>
          <w:b/>
        </w:rPr>
        <w:t xml:space="preserve">• </w:t>
      </w:r>
      <w:r>
        <w:t>Thresholds are policy artifacts, versioned separately from model weights.</w:t>
      </w:r>
    </w:p>
    <w:p>
      <w:pPr>
        <w:ind w:left="215" w:hanging="125"/>
      </w:pPr>
      <w:r>
        <w:rPr>
          <w:b/>
        </w:rPr>
        <w:t xml:space="preserve">• </w:t>
      </w:r>
      <w:r>
        <w:t>Threshold changes require evaluation on benign-friction metrics as well as fraud recall.</w:t>
      </w:r>
    </w:p>
    <w:p>
      <w:pPr>
        <w:ind w:left="215" w:hanging="125"/>
      </w:pPr>
      <w:r>
        <w:rPr>
          <w:b/>
        </w:rPr>
        <w:t xml:space="preserve">• </w:t>
      </w:r>
      <w:r>
        <w:t>Out-of-distribution testing includes unseen scam scripts, unseen recipients, missing-signal combinations and accessibility/device variants.</w:t>
      </w:r>
    </w:p>
    <w:p>
      <w:pPr>
        <w:pStyle w:val="Heading2"/>
      </w:pPr>
      <w:r>
        <w:t>Product reason</w:t>
      </w:r>
    </w:p>
    <w:p>
      <w:r>
        <w:t>The ByteBuilt fraud theme explicitly values reducing losses without over-flagging genuine users. [SRC] Uncertainty-aware abstention gives Vyuha a technical answer to that judging criterion: the system is designed to know when evidence is insufficient, and the policy can choose a low-cost reversible action instead of pretending the model is infallible.</w:t>
      </w:r>
    </w:p>
    <w:p>
      <w:r>
        <w:br w:type="page"/>
      </w:r>
    </w:p>
    <w:p>
      <w:pPr>
        <w:spacing w:after="0"/>
      </w:pPr>
      <w:r>
        <w:rPr>
          <w:b/>
          <w:sz w:val="15"/>
        </w:rPr>
        <w:t>ADAPTIVE INTERVENTION</w:t>
      </w:r>
    </w:p>
    <w:p>
      <w:pPr>
        <w:pStyle w:val="Heading1"/>
      </w:pPr>
      <w:r>
        <w:t>Safety-Constrained Contextual Bandit and Offline RL</w:t>
      </w:r>
    </w:p>
    <w:p>
      <w:r>
        <w:t>The action-selection problem is sequential and personalised: the same warning is not optimal for every context, but live exploration in financial safety is unacceptable. Vyuha therefore uses a constrained contextual bandit / offline-RL workflow. Conservative contextual bandit research explicitly studies algorithms constrained to perform no worse than a baseline policy, while offline RL studies policy learning from previously collected data without online exploration. [EXT; Refs. 23–24]</w:t>
      </w:r>
    </w:p>
    <w:tbl>
      <w:tblPr>
        <w:tblStyle w:val="TableGrid"/>
        <w:tblW w:type="auto" w:w="0"/>
        <w:jc w:val="center"/>
        <w:tblLook w:firstColumn="1" w:firstRow="1" w:lastColumn="0" w:lastRow="0" w:noHBand="0" w:noVBand="1" w:val="04A0"/>
      </w:tblPr>
      <w:tblGrid>
        <w:gridCol w:w="3459"/>
        <w:gridCol w:w="3459"/>
        <w:gridCol w:w="3459"/>
      </w:tblGrid>
      <w:tr>
        <w:trPr>
          <w:cantSplit/>
        </w:trPr>
        <w:tc>
          <w:tcPr>
            <w:tcW w:type="dxa" w:w="1361"/>
            <w:shd w:fill="E7E6E6"/>
            <w:vAlign w:val="center"/>
          </w:tcPr>
          <w:p>
            <w:pPr>
              <w:spacing w:after="0" w:line="240" w:lineRule="auto"/>
            </w:pPr>
            <w:r/>
            <w:r>
              <w:rPr>
                <w:rFonts w:ascii="Liberation Sans" w:hAnsi="Liberation Sans"/>
                <w:b/>
                <w:sz w:val="14"/>
              </w:rPr>
              <w:t>Action ID</w:t>
            </w:r>
          </w:p>
        </w:tc>
        <w:tc>
          <w:tcPr>
            <w:tcW w:type="dxa" w:w="3798"/>
            <w:shd w:fill="E7E6E6"/>
            <w:vAlign w:val="center"/>
          </w:tcPr>
          <w:p>
            <w:pPr>
              <w:spacing w:after="0" w:line="240" w:lineRule="auto"/>
            </w:pPr>
            <w:r/>
            <w:r>
              <w:rPr>
                <w:rFonts w:ascii="Liberation Sans" w:hAnsi="Liberation Sans"/>
                <w:b/>
                <w:sz w:val="14"/>
              </w:rPr>
              <w:t>Action</w:t>
            </w:r>
          </w:p>
        </w:tc>
        <w:tc>
          <w:tcPr>
            <w:tcW w:type="dxa" w:w="4649"/>
            <w:shd w:fill="E7E6E6"/>
            <w:vAlign w:val="center"/>
          </w:tcPr>
          <w:p>
            <w:pPr>
              <w:spacing w:after="0" w:line="240" w:lineRule="auto"/>
            </w:pPr>
            <w:r/>
            <w:r>
              <w:rPr>
                <w:rFonts w:ascii="Liberation Sans" w:hAnsi="Liberation Sans"/>
                <w:b/>
                <w:sz w:val="14"/>
              </w:rPr>
              <w:t>Cost / intended information</w:t>
            </w:r>
          </w:p>
        </w:tc>
      </w:tr>
      <w:tr>
        <w:trPr>
          <w:cantSplit/>
        </w:trPr>
        <w:tc>
          <w:tcPr>
            <w:tcW w:type="dxa" w:w="1361"/>
            <w:vAlign w:val="center"/>
          </w:tcPr>
          <w:p>
            <w:pPr>
              <w:spacing w:after="0" w:line="240" w:lineRule="auto"/>
            </w:pPr>
            <w:r/>
            <w:r>
              <w:rPr>
                <w:rFonts w:ascii="Liberation Sans" w:hAnsi="Liberation Sans"/>
                <w:b w:val="0"/>
                <w:sz w:val="14"/>
              </w:rPr>
              <w:t>A0 PASS</w:t>
            </w:r>
          </w:p>
        </w:tc>
        <w:tc>
          <w:tcPr>
            <w:tcW w:type="dxa" w:w="3798"/>
            <w:vAlign w:val="center"/>
          </w:tcPr>
          <w:p>
            <w:pPr>
              <w:spacing w:after="0" w:line="240" w:lineRule="auto"/>
            </w:pPr>
            <w:r/>
            <w:r>
              <w:rPr>
                <w:rFonts w:ascii="Liberation Sans" w:hAnsi="Liberation Sans"/>
                <w:b w:val="0"/>
                <w:sz w:val="14"/>
              </w:rPr>
              <w:t>No friction</w:t>
            </w:r>
          </w:p>
        </w:tc>
        <w:tc>
          <w:tcPr>
            <w:tcW w:type="dxa" w:w="4649"/>
            <w:vAlign w:val="center"/>
          </w:tcPr>
          <w:p>
            <w:pPr>
              <w:spacing w:after="0" w:line="240" w:lineRule="auto"/>
            </w:pPr>
            <w:r/>
            <w:r>
              <w:rPr>
                <w:rFonts w:ascii="Liberation Sans" w:hAnsi="Liberation Sans"/>
                <w:b w:val="0"/>
                <w:sz w:val="14"/>
              </w:rPr>
              <w:t>Zero cost; used only when risk/confidence policy permits.</w:t>
            </w:r>
          </w:p>
        </w:tc>
      </w:tr>
      <w:tr>
        <w:trPr>
          <w:cantSplit/>
        </w:trPr>
        <w:tc>
          <w:tcPr>
            <w:tcW w:type="dxa" w:w="1361"/>
            <w:vAlign w:val="center"/>
          </w:tcPr>
          <w:p>
            <w:pPr>
              <w:spacing w:after="0" w:line="240" w:lineRule="auto"/>
            </w:pPr>
            <w:r/>
            <w:r>
              <w:rPr>
                <w:rFonts w:ascii="Liberation Sans" w:hAnsi="Liberation Sans"/>
                <w:b w:val="0"/>
                <w:sz w:val="14"/>
              </w:rPr>
              <w:t>A1 MICRO</w:t>
            </w:r>
          </w:p>
        </w:tc>
        <w:tc>
          <w:tcPr>
            <w:tcW w:type="dxa" w:w="3798"/>
            <w:vAlign w:val="center"/>
          </w:tcPr>
          <w:p>
            <w:pPr>
              <w:spacing w:after="0" w:line="240" w:lineRule="auto"/>
            </w:pPr>
            <w:r/>
            <w:r>
              <w:rPr>
                <w:rFonts w:ascii="Liberation Sans" w:hAnsi="Liberation Sans"/>
                <w:b w:val="0"/>
                <w:sz w:val="14"/>
              </w:rPr>
              <w:t>One short context question</w:t>
            </w:r>
          </w:p>
        </w:tc>
        <w:tc>
          <w:tcPr>
            <w:tcW w:type="dxa" w:w="4649"/>
            <w:vAlign w:val="center"/>
          </w:tcPr>
          <w:p>
            <w:pPr>
              <w:spacing w:after="0" w:line="240" w:lineRule="auto"/>
            </w:pPr>
            <w:r/>
            <w:r>
              <w:rPr>
                <w:rFonts w:ascii="Liberation Sans" w:hAnsi="Liberation Sans"/>
                <w:b w:val="0"/>
                <w:sz w:val="14"/>
              </w:rPr>
              <w:t>Low cost; tests whether another person is directing payment.</w:t>
            </w:r>
          </w:p>
        </w:tc>
      </w:tr>
      <w:tr>
        <w:trPr>
          <w:cantSplit/>
        </w:trPr>
        <w:tc>
          <w:tcPr>
            <w:tcW w:type="dxa" w:w="1361"/>
            <w:vAlign w:val="center"/>
          </w:tcPr>
          <w:p>
            <w:pPr>
              <w:spacing w:after="0" w:line="240" w:lineRule="auto"/>
            </w:pPr>
            <w:r/>
            <w:r>
              <w:rPr>
                <w:rFonts w:ascii="Liberation Sans" w:hAnsi="Liberation Sans"/>
                <w:b w:val="0"/>
                <w:sz w:val="14"/>
              </w:rPr>
              <w:t>A2 REFLECT</w:t>
            </w:r>
          </w:p>
        </w:tc>
        <w:tc>
          <w:tcPr>
            <w:tcW w:type="dxa" w:w="3798"/>
            <w:vAlign w:val="center"/>
          </w:tcPr>
          <w:p>
            <w:pPr>
              <w:spacing w:after="0" w:line="240" w:lineRule="auto"/>
            </w:pPr>
            <w:r/>
            <w:r>
              <w:rPr>
                <w:rFonts w:ascii="Liberation Sans" w:hAnsi="Liberation Sans"/>
                <w:b w:val="0"/>
                <w:sz w:val="14"/>
              </w:rPr>
              <w:t>Show recipient/amount + “why are you paying?” reflection</w:t>
            </w:r>
          </w:p>
        </w:tc>
        <w:tc>
          <w:tcPr>
            <w:tcW w:type="dxa" w:w="4649"/>
            <w:vAlign w:val="center"/>
          </w:tcPr>
          <w:p>
            <w:pPr>
              <w:spacing w:after="0" w:line="240" w:lineRule="auto"/>
            </w:pPr>
            <w:r/>
            <w:r>
              <w:rPr>
                <w:rFonts w:ascii="Liberation Sans" w:hAnsi="Liberation Sans"/>
                <w:b w:val="0"/>
                <w:sz w:val="14"/>
              </w:rPr>
              <w:t>Moderate cost; breaks automatic compliance.</w:t>
            </w:r>
          </w:p>
        </w:tc>
      </w:tr>
      <w:tr>
        <w:trPr>
          <w:cantSplit/>
        </w:trPr>
        <w:tc>
          <w:tcPr>
            <w:tcW w:type="dxa" w:w="1361"/>
            <w:vAlign w:val="center"/>
          </w:tcPr>
          <w:p>
            <w:pPr>
              <w:spacing w:after="0" w:line="240" w:lineRule="auto"/>
            </w:pPr>
            <w:r/>
            <w:r>
              <w:rPr>
                <w:rFonts w:ascii="Liberation Sans" w:hAnsi="Liberation Sans"/>
                <w:b w:val="0"/>
                <w:sz w:val="14"/>
              </w:rPr>
              <w:t>A3 CLOSE_RISK</w:t>
            </w:r>
          </w:p>
        </w:tc>
        <w:tc>
          <w:tcPr>
            <w:tcW w:type="dxa" w:w="3798"/>
            <w:vAlign w:val="center"/>
          </w:tcPr>
          <w:p>
            <w:pPr>
              <w:spacing w:after="0" w:line="240" w:lineRule="auto"/>
            </w:pPr>
            <w:r/>
            <w:r>
              <w:rPr>
                <w:rFonts w:ascii="Liberation Sans" w:hAnsi="Liberation Sans"/>
                <w:b w:val="0"/>
                <w:sz w:val="14"/>
              </w:rPr>
              <w:t>Require closure of capture/control risk before continuing</w:t>
            </w:r>
          </w:p>
        </w:tc>
        <w:tc>
          <w:tcPr>
            <w:tcW w:type="dxa" w:w="4649"/>
            <w:vAlign w:val="center"/>
          </w:tcPr>
          <w:p>
            <w:pPr>
              <w:spacing w:after="0" w:line="240" w:lineRule="auto"/>
            </w:pPr>
            <w:r/>
            <w:r>
              <w:rPr>
                <w:rFonts w:ascii="Liberation Sans" w:hAnsi="Liberation Sans"/>
                <w:b w:val="0"/>
                <w:sz w:val="14"/>
              </w:rPr>
              <w:t>Moderate/high; platform-supported isolation from remote access.</w:t>
            </w:r>
          </w:p>
        </w:tc>
      </w:tr>
      <w:tr>
        <w:trPr>
          <w:cantSplit/>
        </w:trPr>
        <w:tc>
          <w:tcPr>
            <w:tcW w:type="dxa" w:w="1361"/>
            <w:vAlign w:val="center"/>
          </w:tcPr>
          <w:p>
            <w:pPr>
              <w:spacing w:after="0" w:line="240" w:lineRule="auto"/>
            </w:pPr>
            <w:r/>
            <w:r>
              <w:rPr>
                <w:rFonts w:ascii="Liberation Sans" w:hAnsi="Liberation Sans"/>
                <w:b w:val="0"/>
                <w:sz w:val="14"/>
              </w:rPr>
              <w:t>A4 COOL_OFF</w:t>
            </w:r>
          </w:p>
        </w:tc>
        <w:tc>
          <w:tcPr>
            <w:tcW w:type="dxa" w:w="3798"/>
            <w:vAlign w:val="center"/>
          </w:tcPr>
          <w:p>
            <w:pPr>
              <w:spacing w:after="0" w:line="240" w:lineRule="auto"/>
            </w:pPr>
            <w:r/>
            <w:r>
              <w:rPr>
                <w:rFonts w:ascii="Liberation Sans" w:hAnsi="Liberation Sans"/>
                <w:b w:val="0"/>
                <w:sz w:val="14"/>
              </w:rPr>
              <w:t>15–30 s intentional pause + safety statement</w:t>
            </w:r>
          </w:p>
        </w:tc>
        <w:tc>
          <w:tcPr>
            <w:tcW w:type="dxa" w:w="4649"/>
            <w:vAlign w:val="center"/>
          </w:tcPr>
          <w:p>
            <w:pPr>
              <w:spacing w:after="0" w:line="240" w:lineRule="auto"/>
            </w:pPr>
            <w:r/>
            <w:r>
              <w:rPr>
                <w:rFonts w:ascii="Liberation Sans" w:hAnsi="Liberation Sans"/>
                <w:b w:val="0"/>
                <w:sz w:val="14"/>
              </w:rPr>
              <w:t>High information/cognitive break; scammer loses immediate momentum.</w:t>
            </w:r>
          </w:p>
        </w:tc>
      </w:tr>
      <w:tr>
        <w:trPr>
          <w:cantSplit/>
        </w:trPr>
        <w:tc>
          <w:tcPr>
            <w:tcW w:type="dxa" w:w="1361"/>
            <w:vAlign w:val="center"/>
          </w:tcPr>
          <w:p>
            <w:pPr>
              <w:spacing w:after="0" w:line="240" w:lineRule="auto"/>
            </w:pPr>
            <w:r/>
            <w:r>
              <w:rPr>
                <w:rFonts w:ascii="Liberation Sans" w:hAnsi="Liberation Sans"/>
                <w:b w:val="0"/>
                <w:sz w:val="14"/>
              </w:rPr>
              <w:t>A5 VERIFY</w:t>
            </w:r>
          </w:p>
        </w:tc>
        <w:tc>
          <w:tcPr>
            <w:tcW w:type="dxa" w:w="3798"/>
            <w:vAlign w:val="center"/>
          </w:tcPr>
          <w:p>
            <w:pPr>
              <w:spacing w:after="0" w:line="240" w:lineRule="auto"/>
            </w:pPr>
            <w:r/>
            <w:r>
              <w:rPr>
                <w:rFonts w:ascii="Liberation Sans" w:hAnsi="Liberation Sans"/>
                <w:b w:val="0"/>
                <w:sz w:val="14"/>
              </w:rPr>
              <w:t>Safety Circle or bank step-up</w:t>
            </w:r>
          </w:p>
        </w:tc>
        <w:tc>
          <w:tcPr>
            <w:tcW w:type="dxa" w:w="4649"/>
            <w:vAlign w:val="center"/>
          </w:tcPr>
          <w:p>
            <w:pPr>
              <w:spacing w:after="0" w:line="240" w:lineRule="auto"/>
            </w:pPr>
            <w:r/>
            <w:r>
              <w:rPr>
                <w:rFonts w:ascii="Liberation Sans" w:hAnsi="Liberation Sans"/>
                <w:b w:val="0"/>
                <w:sz w:val="14"/>
              </w:rPr>
              <w:t>High cost; independent human/institution verification.</w:t>
            </w:r>
          </w:p>
        </w:tc>
      </w:tr>
      <w:tr>
        <w:trPr>
          <w:cantSplit/>
        </w:trPr>
        <w:tc>
          <w:tcPr>
            <w:tcW w:type="dxa" w:w="1361"/>
            <w:vAlign w:val="center"/>
          </w:tcPr>
          <w:p>
            <w:pPr>
              <w:spacing w:after="0" w:line="240" w:lineRule="auto"/>
            </w:pPr>
            <w:r/>
            <w:r>
              <w:rPr>
                <w:rFonts w:ascii="Liberation Sans" w:hAnsi="Liberation Sans"/>
                <w:b w:val="0"/>
                <w:sz w:val="14"/>
              </w:rPr>
              <w:t>A6 CANCEL</w:t>
            </w:r>
          </w:p>
        </w:tc>
        <w:tc>
          <w:tcPr>
            <w:tcW w:type="dxa" w:w="3798"/>
            <w:vAlign w:val="center"/>
          </w:tcPr>
          <w:p>
            <w:pPr>
              <w:spacing w:after="0" w:line="240" w:lineRule="auto"/>
            </w:pPr>
            <w:r/>
            <w:r>
              <w:rPr>
                <w:rFonts w:ascii="Liberation Sans" w:hAnsi="Liberation Sans"/>
                <w:b w:val="0"/>
                <w:sz w:val="14"/>
              </w:rPr>
              <w:t>User cancels / host blocks under policy</w:t>
            </w:r>
          </w:p>
        </w:tc>
        <w:tc>
          <w:tcPr>
            <w:tcW w:type="dxa" w:w="4649"/>
            <w:vAlign w:val="center"/>
          </w:tcPr>
          <w:p>
            <w:pPr>
              <w:spacing w:after="0" w:line="240" w:lineRule="auto"/>
            </w:pPr>
            <w:r/>
            <w:r>
              <w:rPr>
                <w:rFonts w:ascii="Liberation Sans" w:hAnsi="Liberation Sans"/>
                <w:b w:val="0"/>
                <w:sz w:val="14"/>
              </w:rPr>
              <w:t>Terminal; not autonomously chosen by an unconstrained model.</w:t>
            </w:r>
          </w:p>
        </w:tc>
      </w:tr>
    </w:tbl>
    <w:p>
      <w:pPr>
        <w:pStyle w:val="Tiny"/>
      </w:pPr>
    </w:p>
    <w:p>
      <w:pPr>
        <w:pStyle w:val="Heading2"/>
      </w:pPr>
      <w:r>
        <w:t>Context vector</w:t>
      </w:r>
    </w:p>
    <w:p>
      <w:r>
        <w:t>Bandit context includes belief score, confidence, active expert scores, amount-loss bucket, payee novelty, access-risk state, graph-risk bucket, prior action, prior user response, accessibility flags and time remaining before authorization. Sensitive raw content is excluded.</w:t>
      </w:r>
    </w:p>
    <w:p>
      <w:pPr>
        <w:pStyle w:val="Heading2"/>
      </w:pPr>
      <w:r>
        <w:t>Reward design</w:t>
      </w:r>
    </w:p>
    <w:p>
      <w:r>
        <w:t>Use an offline composite reward that strongly penalises a completed known-fraud payment, moderately penalises unnecessary friction on benign sessions, rewards safe cancellation/verification in high-risk sessions, and penalises repeated/confusing interventions. Policy training occurs in simulation and logged datasets; production policy ships as frozen parameters plus hard safety constraints.</w:t>
      </w:r>
    </w:p>
    <w:tbl>
      <w:tblPr>
        <w:tblStyle w:val="TableGrid"/>
        <w:tblW w:type="auto" w:w="0"/>
        <w:jc w:val="center"/>
        <w:tblLook w:firstColumn="1" w:firstRow="1" w:lastColumn="0" w:lastRow="0" w:noHBand="0" w:noVBand="1" w:val="04A0"/>
      </w:tblPr>
      <w:tblGrid>
        <w:gridCol w:w="10376"/>
      </w:tblGrid>
      <w:tr>
        <w:trPr>
          <w:cantSplit/>
        </w:trPr>
        <w:tc>
          <w:tcPr>
            <w:tcW w:type="dxa" w:w="10376"/>
            <w:shd w:fill="F2F2F2"/>
            <w:vAlign w:val="center"/>
          </w:tcPr>
          <w:p>
            <w:pPr>
              <w:spacing w:after="20"/>
            </w:pPr>
            <w:r/>
            <w:r>
              <w:rPr>
                <w:rFonts w:ascii="Liberation Sans" w:hAnsi="Liberation Sans"/>
                <w:b/>
                <w:sz w:val="17"/>
              </w:rPr>
              <w:t xml:space="preserve">Never do this — </w:t>
            </w:r>
            <w:r>
              <w:rPr>
                <w:rFonts w:ascii="Liberation Sans" w:hAnsi="Liberation Sans"/>
                <w:sz w:val="17"/>
              </w:rPr>
              <w:t>Do not tell judges the bandit “learns by trying different safety levels on live victims.” The production story is offline learning + constrained approved actions + measured rollout.</w:t>
            </w:r>
          </w:p>
        </w:tc>
      </w:tr>
    </w:tbl>
    <w:p>
      <w:pPr>
        <w:pStyle w:val="Tiny"/>
      </w:pPr>
    </w:p>
    <w:p>
      <w:r>
        <w:br w:type="page"/>
      </w:r>
    </w:p>
    <w:p>
      <w:pPr>
        <w:spacing w:after="0"/>
      </w:pPr>
      <w:r>
        <w:rPr>
          <w:b/>
          <w:sz w:val="15"/>
        </w:rPr>
        <w:t>AGENTIC RESEARCH</w:t>
      </w:r>
    </w:p>
    <w:p>
      <w:pPr>
        <w:pStyle w:val="Heading1"/>
      </w:pPr>
      <w:r>
        <w:t>Multi-Agent Scam Digital Twin for Adversarial Policy Training</w:t>
      </w:r>
    </w:p>
    <w:p>
      <w:r>
        <w:t>The most novel agentic component belongs in training, not in the critical transaction path. Vyuha’s Scam Digital Twin is a multi-agent simulation environment that generates adaptive coercion trajectories and tests defensive interventions before they are exposed to users. This lets the project use agentic systems for a problem they are uniquely suited to: red-team adaptation and counterfactual scenario generation.</w:t>
      </w:r>
    </w:p>
    <w:tbl>
      <w:tblPr>
        <w:tblStyle w:val="TableGrid"/>
        <w:tblW w:type="auto" w:w="0"/>
        <w:jc w:val="center"/>
        <w:tblLook w:firstColumn="1" w:firstRow="1" w:lastColumn="0" w:lastRow="0" w:noHBand="0" w:noVBand="1" w:val="04A0"/>
      </w:tblPr>
      <w:tblGrid>
        <w:gridCol w:w="3459"/>
        <w:gridCol w:w="3459"/>
        <w:gridCol w:w="3459"/>
      </w:tblGrid>
      <w:tr>
        <w:trPr>
          <w:cantSplit/>
        </w:trPr>
        <w:tc>
          <w:tcPr>
            <w:tcW w:type="dxa" w:w="1757"/>
            <w:shd w:fill="E7E6E6"/>
            <w:vAlign w:val="center"/>
          </w:tcPr>
          <w:p>
            <w:pPr>
              <w:spacing w:after="0" w:line="240" w:lineRule="auto"/>
            </w:pPr>
            <w:r/>
            <w:r>
              <w:rPr>
                <w:rFonts w:ascii="Liberation Sans" w:hAnsi="Liberation Sans"/>
                <w:b/>
                <w:sz w:val="14"/>
              </w:rPr>
              <w:t>Agent</w:t>
            </w:r>
          </w:p>
        </w:tc>
        <w:tc>
          <w:tcPr>
            <w:tcW w:type="dxa" w:w="4025"/>
            <w:shd w:fill="E7E6E6"/>
            <w:vAlign w:val="center"/>
          </w:tcPr>
          <w:p>
            <w:pPr>
              <w:spacing w:after="0" w:line="240" w:lineRule="auto"/>
            </w:pPr>
            <w:r/>
            <w:r>
              <w:rPr>
                <w:rFonts w:ascii="Liberation Sans" w:hAnsi="Liberation Sans"/>
                <w:b/>
                <w:sz w:val="14"/>
              </w:rPr>
              <w:t>State / capability</w:t>
            </w:r>
          </w:p>
        </w:tc>
        <w:tc>
          <w:tcPr>
            <w:tcW w:type="dxa" w:w="4025"/>
            <w:shd w:fill="E7E6E6"/>
            <w:vAlign w:val="center"/>
          </w:tcPr>
          <w:p>
            <w:pPr>
              <w:spacing w:after="0" w:line="240" w:lineRule="auto"/>
            </w:pPr>
            <w:r/>
            <w:r>
              <w:rPr>
                <w:rFonts w:ascii="Liberation Sans" w:hAnsi="Liberation Sans"/>
                <w:b/>
                <w:sz w:val="14"/>
              </w:rPr>
              <w:t>Purpose</w:t>
            </w:r>
          </w:p>
        </w:tc>
      </w:tr>
      <w:tr>
        <w:trPr>
          <w:cantSplit/>
        </w:trPr>
        <w:tc>
          <w:tcPr>
            <w:tcW w:type="dxa" w:w="1757"/>
            <w:vAlign w:val="center"/>
          </w:tcPr>
          <w:p>
            <w:pPr>
              <w:spacing w:after="0" w:line="240" w:lineRule="auto"/>
            </w:pPr>
            <w:r/>
            <w:r>
              <w:rPr>
                <w:rFonts w:ascii="Liberation Sans" w:hAnsi="Liberation Sans"/>
                <w:b w:val="0"/>
                <w:sz w:val="14"/>
              </w:rPr>
              <w:t>Red Scammer Agent</w:t>
            </w:r>
          </w:p>
        </w:tc>
        <w:tc>
          <w:tcPr>
            <w:tcW w:type="dxa" w:w="4025"/>
            <w:vAlign w:val="center"/>
          </w:tcPr>
          <w:p>
            <w:pPr>
              <w:spacing w:after="0" w:line="240" w:lineRule="auto"/>
            </w:pPr>
            <w:r/>
            <w:r>
              <w:rPr>
                <w:rFonts w:ascii="Liberation Sans" w:hAnsi="Liberation Sans"/>
                <w:b w:val="0"/>
                <w:sz w:val="14"/>
              </w:rPr>
              <w:t>authority persona, urgency, current channel, coaching strategy, adaptation memory</w:t>
            </w:r>
          </w:p>
        </w:tc>
        <w:tc>
          <w:tcPr>
            <w:tcW w:type="dxa" w:w="4025"/>
            <w:vAlign w:val="center"/>
          </w:tcPr>
          <w:p>
            <w:pPr>
              <w:spacing w:after="0" w:line="240" w:lineRule="auto"/>
            </w:pPr>
            <w:r/>
            <w:r>
              <w:rPr>
                <w:rFonts w:ascii="Liberation Sans" w:hAnsi="Liberation Sans"/>
                <w:b w:val="0"/>
                <w:sz w:val="14"/>
              </w:rPr>
              <w:t>Changes tactics after warnings; attempts to preserve synchronous control and coach around friction.</w:t>
            </w:r>
          </w:p>
        </w:tc>
      </w:tr>
      <w:tr>
        <w:trPr>
          <w:cantSplit/>
        </w:trPr>
        <w:tc>
          <w:tcPr>
            <w:tcW w:type="dxa" w:w="1757"/>
            <w:vAlign w:val="center"/>
          </w:tcPr>
          <w:p>
            <w:pPr>
              <w:spacing w:after="0" w:line="240" w:lineRule="auto"/>
            </w:pPr>
            <w:r/>
            <w:r>
              <w:rPr>
                <w:rFonts w:ascii="Liberation Sans" w:hAnsi="Liberation Sans"/>
                <w:b w:val="0"/>
                <w:sz w:val="14"/>
              </w:rPr>
              <w:t>User Persona Agent</w:t>
            </w:r>
          </w:p>
        </w:tc>
        <w:tc>
          <w:tcPr>
            <w:tcW w:type="dxa" w:w="4025"/>
            <w:vAlign w:val="center"/>
          </w:tcPr>
          <w:p>
            <w:pPr>
              <w:spacing w:after="0" w:line="240" w:lineRule="auto"/>
            </w:pPr>
            <w:r/>
            <w:r>
              <w:rPr>
                <w:rFonts w:ascii="Liberation Sans" w:hAnsi="Liberation Sans"/>
                <w:b w:val="0"/>
                <w:sz w:val="14"/>
              </w:rPr>
              <w:t>susceptibility, financial familiarity, stress, accessibility needs, trust network</w:t>
            </w:r>
          </w:p>
        </w:tc>
        <w:tc>
          <w:tcPr>
            <w:tcW w:type="dxa" w:w="4025"/>
            <w:vAlign w:val="center"/>
          </w:tcPr>
          <w:p>
            <w:pPr>
              <w:spacing w:after="0" w:line="240" w:lineRule="auto"/>
            </w:pPr>
            <w:r/>
            <w:r>
              <w:rPr>
                <w:rFonts w:ascii="Liberation Sans" w:hAnsi="Liberation Sans"/>
                <w:b w:val="0"/>
                <w:sz w:val="14"/>
              </w:rPr>
              <w:t>Produces heterogeneous responses; prevents policy from overfitting to one “naive user.”</w:t>
            </w:r>
          </w:p>
        </w:tc>
      </w:tr>
      <w:tr>
        <w:trPr>
          <w:cantSplit/>
        </w:trPr>
        <w:tc>
          <w:tcPr>
            <w:tcW w:type="dxa" w:w="1757"/>
            <w:vAlign w:val="center"/>
          </w:tcPr>
          <w:p>
            <w:pPr>
              <w:spacing w:after="0" w:line="240" w:lineRule="auto"/>
            </w:pPr>
            <w:r/>
            <w:r>
              <w:rPr>
                <w:rFonts w:ascii="Liberation Sans" w:hAnsi="Liberation Sans"/>
                <w:b w:val="0"/>
                <w:sz w:val="14"/>
              </w:rPr>
              <w:t>Vyuha Defender</w:t>
            </w:r>
          </w:p>
        </w:tc>
        <w:tc>
          <w:tcPr>
            <w:tcW w:type="dxa" w:w="4025"/>
            <w:vAlign w:val="center"/>
          </w:tcPr>
          <w:p>
            <w:pPr>
              <w:spacing w:after="0" w:line="240" w:lineRule="auto"/>
            </w:pPr>
            <w:r/>
            <w:r>
              <w:rPr>
                <w:rFonts w:ascii="Liberation Sans" w:hAnsi="Liberation Sans"/>
                <w:b w:val="0"/>
                <w:sz w:val="14"/>
              </w:rPr>
              <w:t>observations, belief state, action catalogue</w:t>
            </w:r>
          </w:p>
        </w:tc>
        <w:tc>
          <w:tcPr>
            <w:tcW w:type="dxa" w:w="4025"/>
            <w:vAlign w:val="center"/>
          </w:tcPr>
          <w:p>
            <w:pPr>
              <w:spacing w:after="0" w:line="240" w:lineRule="auto"/>
            </w:pPr>
            <w:r/>
            <w:r>
              <w:rPr>
                <w:rFonts w:ascii="Liberation Sans" w:hAnsi="Liberation Sans"/>
                <w:b w:val="0"/>
                <w:sz w:val="14"/>
              </w:rPr>
              <w:t>Chooses interventions under cost/safety constraints.</w:t>
            </w:r>
          </w:p>
        </w:tc>
      </w:tr>
      <w:tr>
        <w:trPr>
          <w:cantSplit/>
        </w:trPr>
        <w:tc>
          <w:tcPr>
            <w:tcW w:type="dxa" w:w="1757"/>
            <w:vAlign w:val="center"/>
          </w:tcPr>
          <w:p>
            <w:pPr>
              <w:spacing w:after="0" w:line="240" w:lineRule="auto"/>
            </w:pPr>
            <w:r/>
            <w:r>
              <w:rPr>
                <w:rFonts w:ascii="Liberation Sans" w:hAnsi="Liberation Sans"/>
                <w:b w:val="0"/>
                <w:sz w:val="14"/>
              </w:rPr>
              <w:t>Environment / Bank</w:t>
            </w:r>
          </w:p>
        </w:tc>
        <w:tc>
          <w:tcPr>
            <w:tcW w:type="dxa" w:w="4025"/>
            <w:vAlign w:val="center"/>
          </w:tcPr>
          <w:p>
            <w:pPr>
              <w:spacing w:after="0" w:line="240" w:lineRule="auto"/>
            </w:pPr>
            <w:r/>
            <w:r>
              <w:rPr>
                <w:rFonts w:ascii="Liberation Sans" w:hAnsi="Liberation Sans"/>
                <w:b w:val="0"/>
                <w:sz w:val="14"/>
              </w:rPr>
              <w:t>graph risk, transaction outcome, latency, service availability</w:t>
            </w:r>
          </w:p>
        </w:tc>
        <w:tc>
          <w:tcPr>
            <w:tcW w:type="dxa" w:w="4025"/>
            <w:vAlign w:val="center"/>
          </w:tcPr>
          <w:p>
            <w:pPr>
              <w:spacing w:after="0" w:line="240" w:lineRule="auto"/>
            </w:pPr>
            <w:r/>
            <w:r>
              <w:rPr>
                <w:rFonts w:ascii="Liberation Sans" w:hAnsi="Liberation Sans"/>
                <w:b w:val="0"/>
                <w:sz w:val="14"/>
              </w:rPr>
              <w:t>Simulates institutional signals and consequences.</w:t>
            </w:r>
          </w:p>
        </w:tc>
      </w:tr>
      <w:tr>
        <w:trPr>
          <w:cantSplit/>
        </w:trPr>
        <w:tc>
          <w:tcPr>
            <w:tcW w:type="dxa" w:w="1757"/>
            <w:vAlign w:val="center"/>
          </w:tcPr>
          <w:p>
            <w:pPr>
              <w:spacing w:after="0" w:line="240" w:lineRule="auto"/>
            </w:pPr>
            <w:r/>
            <w:r>
              <w:rPr>
                <w:rFonts w:ascii="Liberation Sans" w:hAnsi="Liberation Sans"/>
                <w:b w:val="0"/>
                <w:sz w:val="14"/>
              </w:rPr>
              <w:t>Auditor Agent (offline)</w:t>
            </w:r>
          </w:p>
        </w:tc>
        <w:tc>
          <w:tcPr>
            <w:tcW w:type="dxa" w:w="4025"/>
            <w:vAlign w:val="center"/>
          </w:tcPr>
          <w:p>
            <w:pPr>
              <w:spacing w:after="0" w:line="240" w:lineRule="auto"/>
            </w:pPr>
            <w:r/>
            <w:r>
              <w:rPr>
                <w:rFonts w:ascii="Liberation Sans" w:hAnsi="Liberation Sans"/>
                <w:b w:val="0"/>
                <w:sz w:val="14"/>
              </w:rPr>
              <w:t>policy trace, failure taxonomy</w:t>
            </w:r>
          </w:p>
        </w:tc>
        <w:tc>
          <w:tcPr>
            <w:tcW w:type="dxa" w:w="4025"/>
            <w:vAlign w:val="center"/>
          </w:tcPr>
          <w:p>
            <w:pPr>
              <w:spacing w:after="0" w:line="240" w:lineRule="auto"/>
            </w:pPr>
            <w:r/>
            <w:r>
              <w:rPr>
                <w:rFonts w:ascii="Liberation Sans" w:hAnsi="Liberation Sans"/>
                <w:b w:val="0"/>
                <w:sz w:val="14"/>
              </w:rPr>
              <w:t>Searches for dangerous strategies, over-friction and reward hacking.</w:t>
            </w:r>
          </w:p>
        </w:tc>
      </w:tr>
    </w:tbl>
    <w:p>
      <w:pPr>
        <w:pStyle w:val="Tiny"/>
      </w:pPr>
    </w:p>
    <w:p>
      <w:pPr>
        <w:pStyle w:val="Heading2"/>
      </w:pPr>
      <w:r>
        <w:t>Scenario grammar</w:t>
      </w:r>
    </w:p>
    <w:p>
      <w:r>
        <w:t>Scenario generation should be structured, not free-form roleplay. Define scam-stage variables such as contact → authority establishment → isolation → remote-control request → beneficiary instruction → payment initiation → intervention → adaptation → outcome. LLM agents may generate linguistic variety offline, but the runtime model trains on structured event traces and labels rather than depending on generated text semantics.</w:t>
      </w:r>
    </w:p>
    <w:p>
      <w:pPr>
        <w:pStyle w:val="Heading2"/>
      </w:pPr>
      <w:r>
        <w:t>Red-team experiments</w:t>
      </w:r>
    </w:p>
    <w:p>
      <w:pPr>
        <w:ind w:left="215" w:hanging="125"/>
      </w:pPr>
      <w:r>
        <w:rPr>
          <w:b/>
        </w:rPr>
        <w:t xml:space="preserve">• </w:t>
      </w:r>
      <w:r>
        <w:t>Scammer instructs victim to answer “No” to a direct coercion question.</w:t>
      </w:r>
    </w:p>
    <w:p>
      <w:pPr>
        <w:ind w:left="215" w:hanging="125"/>
      </w:pPr>
      <w:r>
        <w:rPr>
          <w:b/>
        </w:rPr>
        <w:t xml:space="preserve">• </w:t>
      </w:r>
      <w:r>
        <w:t>Scammer switches from cellular call to VoIP or another device.</w:t>
      </w:r>
    </w:p>
    <w:p>
      <w:pPr>
        <w:ind w:left="215" w:hanging="125"/>
      </w:pPr>
      <w:r>
        <w:rPr>
          <w:b/>
        </w:rPr>
        <w:t xml:space="preserve">• </w:t>
      </w:r>
      <w:r>
        <w:t>Scammer uses a low-risk new mule with no graph history.</w:t>
      </w:r>
    </w:p>
    <w:p>
      <w:pPr>
        <w:ind w:left="215" w:hanging="125"/>
      </w:pPr>
      <w:r>
        <w:rPr>
          <w:b/>
        </w:rPr>
        <w:t xml:space="preserve">• </w:t>
      </w:r>
      <w:r>
        <w:t>Scammer splits one large payment into multiple smaller payments.</w:t>
      </w:r>
    </w:p>
    <w:p>
      <w:pPr>
        <w:ind w:left="215" w:hanging="125"/>
      </w:pPr>
      <w:r>
        <w:rPr>
          <w:b/>
        </w:rPr>
        <w:t xml:space="preserve">• </w:t>
      </w:r>
      <w:r>
        <w:t>Scammer asks user to disable safety tools or accessibility protections.</w:t>
      </w:r>
    </w:p>
    <w:p>
      <w:pPr>
        <w:ind w:left="215" w:hanging="125"/>
      </w:pPr>
      <w:r>
        <w:rPr>
          <w:b/>
        </w:rPr>
        <w:t xml:space="preserve">• </w:t>
      </w:r>
      <w:r>
        <w:t>Benign comparator: legitimate family member guides an older user through a normal payment.</w:t>
      </w:r>
    </w:p>
    <w:tbl>
      <w:tblPr>
        <w:tblStyle w:val="TableGrid"/>
        <w:tblW w:type="auto" w:w="0"/>
        <w:jc w:val="center"/>
        <w:tblLook w:firstColumn="1" w:firstRow="1" w:lastColumn="0" w:lastRow="0" w:noHBand="0" w:noVBand="1" w:val="04A0"/>
      </w:tblPr>
      <w:tblGrid>
        <w:gridCol w:w="10376"/>
      </w:tblGrid>
      <w:tr>
        <w:trPr>
          <w:cantSplit/>
        </w:trPr>
        <w:tc>
          <w:tcPr>
            <w:tcW w:type="dxa" w:w="10376"/>
            <w:shd w:fill="F2F2F2"/>
            <w:vAlign w:val="center"/>
          </w:tcPr>
          <w:p>
            <w:pPr>
              <w:spacing w:after="20"/>
            </w:pPr>
            <w:r/>
            <w:r>
              <w:rPr>
                <w:rFonts w:ascii="Liberation Sans" w:hAnsi="Liberation Sans"/>
                <w:b/>
                <w:sz w:val="17"/>
              </w:rPr>
              <w:t xml:space="preserve">Research output — </w:t>
            </w:r>
            <w:r>
              <w:rPr>
                <w:rFonts w:ascii="Liberation Sans" w:hAnsi="Liberation Sans"/>
                <w:sz w:val="17"/>
              </w:rPr>
              <w:t>The digital twin produces adversarial training/evaluation trajectories, intervention-regret curves and a failure library. It is not evidence of real-world efficacy until validated with human studies or production data.</w:t>
            </w:r>
          </w:p>
        </w:tc>
      </w:tr>
    </w:tbl>
    <w:p>
      <w:pPr>
        <w:pStyle w:val="Tiny"/>
      </w:pPr>
    </w:p>
    <w:p>
      <w:r>
        <w:br w:type="page"/>
      </w:r>
    </w:p>
    <w:p>
      <w:pPr>
        <w:spacing w:after="0"/>
      </w:pPr>
      <w:r>
        <w:rPr>
          <w:b/>
          <w:sz w:val="15"/>
        </w:rPr>
        <w:t>AGENTIC RUNTIME</w:t>
      </w:r>
    </w:p>
    <w:p>
      <w:pPr>
        <w:pStyle w:val="Heading1"/>
      </w:pPr>
      <w:r>
        <w:t>OODA Orchestration and Deterministic Multi-Agent Boundaries</w:t>
      </w:r>
    </w:p>
    <w:p>
      <w:r>
        <w:t>The deck’s OODA framing can remain, but the runtime “agents” should be typed services/state machines rather than several LLMs debating a payment. This gives the system agentic decomposition without nondeterministic chatter on the safety-critical path.</w:t>
      </w:r>
    </w:p>
    <w:tbl>
      <w:tblPr>
        <w:tblStyle w:val="TableGrid"/>
        <w:tblW w:type="auto" w:w="0"/>
        <w:jc w:val="center"/>
        <w:tblLook w:firstColumn="1" w:firstRow="1" w:lastColumn="0" w:lastRow="0" w:noHBand="0" w:noVBand="1" w:val="04A0"/>
      </w:tblPr>
      <w:tblGrid>
        <w:gridCol w:w="3459"/>
        <w:gridCol w:w="3459"/>
        <w:gridCol w:w="3459"/>
      </w:tblGrid>
      <w:tr>
        <w:trPr>
          <w:cantSplit/>
        </w:trPr>
        <w:tc>
          <w:tcPr>
            <w:tcW w:type="dxa" w:w="1587"/>
            <w:shd w:fill="E7E6E6"/>
            <w:vAlign w:val="center"/>
          </w:tcPr>
          <w:p>
            <w:pPr>
              <w:spacing w:after="0" w:line="240" w:lineRule="auto"/>
            </w:pPr>
            <w:r/>
            <w:r>
              <w:rPr>
                <w:rFonts w:ascii="Liberation Sans" w:hAnsi="Liberation Sans"/>
                <w:b/>
                <w:sz w:val="14"/>
              </w:rPr>
              <w:t>OODA phase</w:t>
            </w:r>
          </w:p>
        </w:tc>
        <w:tc>
          <w:tcPr>
            <w:tcW w:type="dxa" w:w="2608"/>
            <w:shd w:fill="E7E6E6"/>
            <w:vAlign w:val="center"/>
          </w:tcPr>
          <w:p>
            <w:pPr>
              <w:spacing w:after="0" w:line="240" w:lineRule="auto"/>
            </w:pPr>
            <w:r/>
            <w:r>
              <w:rPr>
                <w:rFonts w:ascii="Liberation Sans" w:hAnsi="Liberation Sans"/>
                <w:b/>
                <w:sz w:val="14"/>
              </w:rPr>
              <w:t>Runtime component</w:t>
            </w:r>
          </w:p>
        </w:tc>
        <w:tc>
          <w:tcPr>
            <w:tcW w:type="dxa" w:w="5613"/>
            <w:shd w:fill="E7E6E6"/>
            <w:vAlign w:val="center"/>
          </w:tcPr>
          <w:p>
            <w:pPr>
              <w:spacing w:after="0" w:line="240" w:lineRule="auto"/>
            </w:pPr>
            <w:r/>
            <w:r>
              <w:rPr>
                <w:rFonts w:ascii="Liberation Sans" w:hAnsi="Liberation Sans"/>
                <w:b/>
                <w:sz w:val="14"/>
              </w:rPr>
              <w:t>Input → output</w:t>
            </w:r>
          </w:p>
        </w:tc>
      </w:tr>
      <w:tr>
        <w:trPr>
          <w:cantSplit/>
        </w:trPr>
        <w:tc>
          <w:tcPr>
            <w:tcW w:type="dxa" w:w="1587"/>
            <w:vAlign w:val="center"/>
          </w:tcPr>
          <w:p>
            <w:pPr>
              <w:spacing w:after="0" w:line="240" w:lineRule="auto"/>
            </w:pPr>
            <w:r/>
            <w:r>
              <w:rPr>
                <w:rFonts w:ascii="Liberation Sans" w:hAnsi="Liberation Sans"/>
                <w:b w:val="0"/>
                <w:sz w:val="14"/>
              </w:rPr>
              <w:t>Observe</w:t>
            </w:r>
          </w:p>
        </w:tc>
        <w:tc>
          <w:tcPr>
            <w:tcW w:type="dxa" w:w="2608"/>
            <w:vAlign w:val="center"/>
          </w:tcPr>
          <w:p>
            <w:pPr>
              <w:spacing w:after="0" w:line="240" w:lineRule="auto"/>
            </w:pPr>
            <w:r/>
            <w:r>
              <w:rPr>
                <w:rFonts w:ascii="Liberation Sans" w:hAnsi="Liberation Sans"/>
                <w:b w:val="0"/>
                <w:sz w:val="14"/>
              </w:rPr>
              <w:t>Context Collector</w:t>
            </w:r>
          </w:p>
        </w:tc>
        <w:tc>
          <w:tcPr>
            <w:tcW w:type="dxa" w:w="5613"/>
            <w:vAlign w:val="center"/>
          </w:tcPr>
          <w:p>
            <w:pPr>
              <w:spacing w:after="0" w:line="240" w:lineRule="auto"/>
            </w:pPr>
            <w:r/>
            <w:r>
              <w:rPr>
                <w:rFonts w:ascii="Liberation Sans" w:hAnsi="Liberation Sans"/>
                <w:b w:val="0"/>
                <w:sz w:val="14"/>
              </w:rPr>
              <w:t>Host transaction + coarse device/session signals → typed EventSnapshot.</w:t>
            </w:r>
          </w:p>
        </w:tc>
      </w:tr>
      <w:tr>
        <w:trPr>
          <w:cantSplit/>
        </w:trPr>
        <w:tc>
          <w:tcPr>
            <w:tcW w:type="dxa" w:w="1587"/>
            <w:vAlign w:val="center"/>
          </w:tcPr>
          <w:p>
            <w:pPr>
              <w:spacing w:after="0" w:line="240" w:lineRule="auto"/>
            </w:pPr>
            <w:r/>
            <w:r>
              <w:rPr>
                <w:rFonts w:ascii="Liberation Sans" w:hAnsi="Liberation Sans"/>
                <w:b w:val="0"/>
                <w:sz w:val="14"/>
              </w:rPr>
              <w:t>Orient</w:t>
            </w:r>
          </w:p>
        </w:tc>
        <w:tc>
          <w:tcPr>
            <w:tcW w:type="dxa" w:w="2608"/>
            <w:vAlign w:val="center"/>
          </w:tcPr>
          <w:p>
            <w:pPr>
              <w:spacing w:after="0" w:line="240" w:lineRule="auto"/>
            </w:pPr>
            <w:r/>
            <w:r>
              <w:rPr>
                <w:rFonts w:ascii="Liberation Sans" w:hAnsi="Liberation Sans"/>
                <w:b w:val="0"/>
                <w:sz w:val="14"/>
              </w:rPr>
              <w:t>Risk Fusion Agent</w:t>
            </w:r>
          </w:p>
        </w:tc>
        <w:tc>
          <w:tcPr>
            <w:tcW w:type="dxa" w:w="5613"/>
            <w:vAlign w:val="center"/>
          </w:tcPr>
          <w:p>
            <w:pPr>
              <w:spacing w:after="0" w:line="240" w:lineRule="auto"/>
            </w:pPr>
            <w:r/>
            <w:r>
              <w:rPr>
                <w:rFonts w:ascii="Liberation Sans" w:hAnsi="Liberation Sans"/>
                <w:b w:val="0"/>
                <w:sz w:val="14"/>
              </w:rPr>
              <w:t>Risk-MoE + belief updater + graph token + uncertainty → RiskAssessment.</w:t>
            </w:r>
          </w:p>
        </w:tc>
      </w:tr>
      <w:tr>
        <w:trPr>
          <w:cantSplit/>
        </w:trPr>
        <w:tc>
          <w:tcPr>
            <w:tcW w:type="dxa" w:w="1587"/>
            <w:vAlign w:val="center"/>
          </w:tcPr>
          <w:p>
            <w:pPr>
              <w:spacing w:after="0" w:line="240" w:lineRule="auto"/>
            </w:pPr>
            <w:r/>
            <w:r>
              <w:rPr>
                <w:rFonts w:ascii="Liberation Sans" w:hAnsi="Liberation Sans"/>
                <w:b w:val="0"/>
                <w:sz w:val="14"/>
              </w:rPr>
              <w:t>Decide</w:t>
            </w:r>
          </w:p>
        </w:tc>
        <w:tc>
          <w:tcPr>
            <w:tcW w:type="dxa" w:w="2608"/>
            <w:vAlign w:val="center"/>
          </w:tcPr>
          <w:p>
            <w:pPr>
              <w:spacing w:after="0" w:line="240" w:lineRule="auto"/>
            </w:pPr>
            <w:r/>
            <w:r>
              <w:rPr>
                <w:rFonts w:ascii="Liberation Sans" w:hAnsi="Liberation Sans"/>
                <w:b w:val="0"/>
                <w:sz w:val="14"/>
              </w:rPr>
              <w:t>Policy Agent</w:t>
            </w:r>
          </w:p>
        </w:tc>
        <w:tc>
          <w:tcPr>
            <w:tcW w:type="dxa" w:w="5613"/>
            <w:vAlign w:val="center"/>
          </w:tcPr>
          <w:p>
            <w:pPr>
              <w:spacing w:after="0" w:line="240" w:lineRule="auto"/>
            </w:pPr>
            <w:r/>
            <w:r>
              <w:rPr>
                <w:rFonts w:ascii="Liberation Sans" w:hAnsi="Liberation Sans"/>
                <w:b w:val="0"/>
                <w:sz w:val="14"/>
              </w:rPr>
              <w:t>Assessment + policy version + safety constraints → InterventionDecision.</w:t>
            </w:r>
          </w:p>
        </w:tc>
      </w:tr>
      <w:tr>
        <w:trPr>
          <w:cantSplit/>
        </w:trPr>
        <w:tc>
          <w:tcPr>
            <w:tcW w:type="dxa" w:w="1587"/>
            <w:vAlign w:val="center"/>
          </w:tcPr>
          <w:p>
            <w:pPr>
              <w:spacing w:after="0" w:line="240" w:lineRule="auto"/>
            </w:pPr>
            <w:r/>
            <w:r>
              <w:rPr>
                <w:rFonts w:ascii="Liberation Sans" w:hAnsi="Liberation Sans"/>
                <w:b w:val="0"/>
                <w:sz w:val="14"/>
              </w:rPr>
              <w:t>Act</w:t>
            </w:r>
          </w:p>
        </w:tc>
        <w:tc>
          <w:tcPr>
            <w:tcW w:type="dxa" w:w="2608"/>
            <w:vAlign w:val="center"/>
          </w:tcPr>
          <w:p>
            <w:pPr>
              <w:spacing w:after="0" w:line="240" w:lineRule="auto"/>
            </w:pPr>
            <w:r/>
            <w:r>
              <w:rPr>
                <w:rFonts w:ascii="Liberation Sans" w:hAnsi="Liberation Sans"/>
                <w:b w:val="0"/>
                <w:sz w:val="14"/>
              </w:rPr>
              <w:t>Host Action Adapter</w:t>
            </w:r>
          </w:p>
        </w:tc>
        <w:tc>
          <w:tcPr>
            <w:tcW w:type="dxa" w:w="5613"/>
            <w:vAlign w:val="center"/>
          </w:tcPr>
          <w:p>
            <w:pPr>
              <w:spacing w:after="0" w:line="240" w:lineRule="auto"/>
            </w:pPr>
            <w:r/>
            <w:r>
              <w:rPr>
                <w:rFonts w:ascii="Liberation Sans" w:hAnsi="Liberation Sans"/>
                <w:b w:val="0"/>
                <w:sz w:val="14"/>
              </w:rPr>
              <w:t>Decision → native screen / close-risk remediation / cool-off / verification.</w:t>
            </w:r>
          </w:p>
        </w:tc>
      </w:tr>
      <w:tr>
        <w:trPr>
          <w:cantSplit/>
        </w:trPr>
        <w:tc>
          <w:tcPr>
            <w:tcW w:type="dxa" w:w="1587"/>
            <w:vAlign w:val="center"/>
          </w:tcPr>
          <w:p>
            <w:pPr>
              <w:spacing w:after="0" w:line="240" w:lineRule="auto"/>
            </w:pPr>
            <w:r/>
            <w:r>
              <w:rPr>
                <w:rFonts w:ascii="Liberation Sans" w:hAnsi="Liberation Sans"/>
                <w:b w:val="0"/>
                <w:sz w:val="14"/>
              </w:rPr>
              <w:t>Observe again</w:t>
            </w:r>
          </w:p>
        </w:tc>
        <w:tc>
          <w:tcPr>
            <w:tcW w:type="dxa" w:w="2608"/>
            <w:vAlign w:val="center"/>
          </w:tcPr>
          <w:p>
            <w:pPr>
              <w:spacing w:after="0" w:line="240" w:lineRule="auto"/>
            </w:pPr>
            <w:r/>
            <w:r>
              <w:rPr>
                <w:rFonts w:ascii="Liberation Sans" w:hAnsi="Liberation Sans"/>
                <w:b w:val="0"/>
                <w:sz w:val="14"/>
              </w:rPr>
              <w:t>Response Collector</w:t>
            </w:r>
          </w:p>
        </w:tc>
        <w:tc>
          <w:tcPr>
            <w:tcW w:type="dxa" w:w="5613"/>
            <w:vAlign w:val="center"/>
          </w:tcPr>
          <w:p>
            <w:pPr>
              <w:spacing w:after="0" w:line="240" w:lineRule="auto"/>
            </w:pPr>
            <w:r/>
            <w:r>
              <w:rPr>
                <w:rFonts w:ascii="Liberation Sans" w:hAnsi="Liberation Sans"/>
                <w:b w:val="0"/>
                <w:sz w:val="14"/>
              </w:rPr>
              <w:t>user response / timeout / host result → new event and belief update.</w:t>
            </w:r>
          </w:p>
        </w:tc>
      </w:tr>
      <w:tr>
        <w:trPr>
          <w:cantSplit/>
        </w:trPr>
        <w:tc>
          <w:tcPr>
            <w:tcW w:type="dxa" w:w="1587"/>
            <w:vAlign w:val="center"/>
          </w:tcPr>
          <w:p>
            <w:pPr>
              <w:spacing w:after="0" w:line="240" w:lineRule="auto"/>
            </w:pPr>
            <w:r/>
            <w:r>
              <w:rPr>
                <w:rFonts w:ascii="Liberation Sans" w:hAnsi="Liberation Sans"/>
                <w:b w:val="0"/>
                <w:sz w:val="14"/>
              </w:rPr>
              <w:t>Audit</w:t>
            </w:r>
          </w:p>
        </w:tc>
        <w:tc>
          <w:tcPr>
            <w:tcW w:type="dxa" w:w="2608"/>
            <w:vAlign w:val="center"/>
          </w:tcPr>
          <w:p>
            <w:pPr>
              <w:spacing w:after="0" w:line="240" w:lineRule="auto"/>
            </w:pPr>
            <w:r/>
            <w:r>
              <w:rPr>
                <w:rFonts w:ascii="Liberation Sans" w:hAnsi="Liberation Sans"/>
                <w:b w:val="0"/>
                <w:sz w:val="14"/>
              </w:rPr>
              <w:t>Trace Agent</w:t>
            </w:r>
          </w:p>
        </w:tc>
        <w:tc>
          <w:tcPr>
            <w:tcW w:type="dxa" w:w="5613"/>
            <w:vAlign w:val="center"/>
          </w:tcPr>
          <w:p>
            <w:pPr>
              <w:spacing w:after="0" w:line="240" w:lineRule="auto"/>
            </w:pPr>
            <w:r/>
            <w:r>
              <w:rPr>
                <w:rFonts w:ascii="Liberation Sans" w:hAnsi="Liberation Sans"/>
                <w:b w:val="0"/>
                <w:sz w:val="14"/>
              </w:rPr>
              <w:t>hashes, reason codes, versions, timings → local/queued audit envelope.</w:t>
            </w:r>
          </w:p>
        </w:tc>
      </w:tr>
    </w:tbl>
    <w:p>
      <w:pPr>
        <w:pStyle w:val="Tiny"/>
      </w:pPr>
    </w:p>
    <w:p>
      <w:pPr>
        <w:pStyle w:val="Heading2"/>
      </w:pPr>
      <w:r>
        <w:t>State-machine rules</w:t>
      </w:r>
    </w:p>
    <w:p>
      <w:pPr>
        <w:ind w:left="215" w:hanging="125"/>
      </w:pPr>
      <w:r>
        <w:rPr>
          <w:b/>
        </w:rPr>
        <w:t xml:space="preserve">• </w:t>
      </w:r>
      <w:r>
        <w:t>Every session has a globally unique transaction/session nonce.</w:t>
      </w:r>
    </w:p>
    <w:p>
      <w:pPr>
        <w:ind w:left="215" w:hanging="125"/>
      </w:pPr>
      <w:r>
        <w:rPr>
          <w:b/>
        </w:rPr>
        <w:t xml:space="preserve">• </w:t>
      </w:r>
      <w:r>
        <w:t>The Policy Agent can choose only actions in the institution-approved catalogue.</w:t>
      </w:r>
    </w:p>
    <w:p>
      <w:pPr>
        <w:ind w:left="215" w:hanging="125"/>
      </w:pPr>
      <w:r>
        <w:rPr>
          <w:b/>
        </w:rPr>
        <w:t xml:space="preserve">• </w:t>
      </w:r>
      <w:r>
        <w:t>The host can veto or strengthen an action according to institutional policy, but must log the override reason.</w:t>
      </w:r>
    </w:p>
    <w:p>
      <w:pPr>
        <w:ind w:left="215" w:hanging="125"/>
      </w:pPr>
      <w:r>
        <w:rPr>
          <w:b/>
        </w:rPr>
        <w:t xml:space="preserve">• </w:t>
      </w:r>
      <w:r>
        <w:t>A completed high-friction action cannot loop indefinitely; maximum intervention count and timeout are explicit.</w:t>
      </w:r>
    </w:p>
    <w:p>
      <w:pPr>
        <w:ind w:left="215" w:hanging="125"/>
      </w:pPr>
      <w:r>
        <w:rPr>
          <w:b/>
        </w:rPr>
        <w:t xml:space="preserve">• </w:t>
      </w:r>
      <w:r>
        <w:t>Model/policy version is immutable within one protected transaction session.</w:t>
      </w:r>
    </w:p>
    <w:p>
      <w:pPr>
        <w:ind w:left="215" w:hanging="125"/>
      </w:pPr>
      <w:r>
        <w:rPr>
          <w:b/>
        </w:rPr>
        <w:t xml:space="preserve">• </w:t>
      </w:r>
      <w:r>
        <w:t>Generative explanations, if used, are post-decision and templated/guarded; the reason code is the source of truth.</w:t>
      </w:r>
    </w:p>
    <w:p>
      <w:pPr>
        <w:pStyle w:val="Heading2"/>
      </w:pPr>
      <w:r>
        <w:t>Why LangGraph is optional</w:t>
      </w:r>
    </w:p>
    <w:p>
      <w:r>
        <w:t>LangGraph can orchestrate the prototype and visualize state transitions, but it is an implementation framework, not the innovation. Production may replace it with Kotlin/C++ state machines or a service workflow. The PRD therefore specifies typed states and contracts independently of orchestration library.</w:t>
      </w:r>
    </w:p>
    <w:p>
      <w:r>
        <w:br w:type="page"/>
      </w:r>
    </w:p>
    <w:p>
      <w:pPr>
        <w:spacing w:after="0"/>
      </w:pPr>
      <w:r>
        <w:rPr>
          <w:b/>
          <w:sz w:val="15"/>
        </w:rPr>
        <w:t>INTERVENTIONS</w:t>
      </w:r>
    </w:p>
    <w:p>
      <w:pPr>
        <w:pStyle w:val="Heading1"/>
      </w:pPr>
      <w:r>
        <w:t>Isolation Break Protocol and Cognitive Friction Design</w:t>
      </w:r>
    </w:p>
    <w:p>
      <w:r>
        <w:t>The signature intervention is not “a smarter warning.” It is a controlled break in the synchronous scammer–victim feedback loop. The attacker’s advantage is often continuous authority and coaching. Vyuha should deliberately create a short, safe interval in which the user can act without external direction.</w:t>
      </w:r>
    </w:p>
    <w:tbl>
      <w:tblPr>
        <w:tblStyle w:val="TableGrid"/>
        <w:tblW w:type="auto" w:w="0"/>
        <w:jc w:val="center"/>
        <w:tblLook w:firstColumn="1" w:firstRow="1" w:lastColumn="0" w:lastRow="0" w:noHBand="0" w:noVBand="1" w:val="04A0"/>
      </w:tblPr>
      <w:tblGrid>
        <w:gridCol w:w="3459"/>
        <w:gridCol w:w="3459"/>
        <w:gridCol w:w="3459"/>
      </w:tblGrid>
      <w:tr>
        <w:trPr>
          <w:cantSplit/>
        </w:trPr>
        <w:tc>
          <w:tcPr>
            <w:tcW w:type="dxa" w:w="1701"/>
            <w:shd w:fill="E7E6E6"/>
            <w:vAlign w:val="center"/>
          </w:tcPr>
          <w:p>
            <w:pPr>
              <w:spacing w:after="0" w:line="240" w:lineRule="auto"/>
            </w:pPr>
            <w:r/>
            <w:r>
              <w:rPr>
                <w:rFonts w:ascii="Liberation Sans" w:hAnsi="Liberation Sans"/>
                <w:b/>
                <w:sz w:val="14"/>
              </w:rPr>
              <w:t>Risk tier</w:t>
            </w:r>
          </w:p>
        </w:tc>
        <w:tc>
          <w:tcPr>
            <w:tcW w:type="dxa" w:w="4989"/>
            <w:shd w:fill="E7E6E6"/>
            <w:vAlign w:val="center"/>
          </w:tcPr>
          <w:p>
            <w:pPr>
              <w:spacing w:after="0" w:line="240" w:lineRule="auto"/>
            </w:pPr>
            <w:r/>
            <w:r>
              <w:rPr>
                <w:rFonts w:ascii="Liberation Sans" w:hAnsi="Liberation Sans"/>
                <w:b/>
                <w:sz w:val="14"/>
              </w:rPr>
              <w:t>UI / action requirement</w:t>
            </w:r>
          </w:p>
        </w:tc>
        <w:tc>
          <w:tcPr>
            <w:tcW w:type="dxa" w:w="3118"/>
            <w:shd w:fill="E7E6E6"/>
            <w:vAlign w:val="center"/>
          </w:tcPr>
          <w:p>
            <w:pPr>
              <w:spacing w:after="0" w:line="240" w:lineRule="auto"/>
            </w:pPr>
            <w:r/>
            <w:r>
              <w:rPr>
                <w:rFonts w:ascii="Liberation Sans" w:hAnsi="Liberation Sans"/>
                <w:b/>
                <w:sz w:val="14"/>
              </w:rPr>
              <w:t>Design intent</w:t>
            </w:r>
          </w:p>
        </w:tc>
      </w:tr>
      <w:tr>
        <w:trPr>
          <w:cantSplit/>
        </w:trPr>
        <w:tc>
          <w:tcPr>
            <w:tcW w:type="dxa" w:w="1701"/>
            <w:vAlign w:val="center"/>
          </w:tcPr>
          <w:p>
            <w:pPr>
              <w:spacing w:after="0" w:line="240" w:lineRule="auto"/>
            </w:pPr>
            <w:r/>
            <w:r>
              <w:rPr>
                <w:rFonts w:ascii="Liberation Sans" w:hAnsi="Liberation Sans"/>
                <w:b w:val="0"/>
                <w:sz w:val="14"/>
              </w:rPr>
              <w:t>LOW</w:t>
            </w:r>
          </w:p>
        </w:tc>
        <w:tc>
          <w:tcPr>
            <w:tcW w:type="dxa" w:w="4989"/>
            <w:vAlign w:val="center"/>
          </w:tcPr>
          <w:p>
            <w:pPr>
              <w:spacing w:after="0" w:line="240" w:lineRule="auto"/>
            </w:pPr>
            <w:r/>
            <w:r>
              <w:rPr>
                <w:rFonts w:ascii="Liberation Sans" w:hAnsi="Liberation Sans"/>
                <w:b w:val="0"/>
                <w:sz w:val="14"/>
              </w:rPr>
              <w:t>No Vyuha UI.</w:t>
            </w:r>
          </w:p>
        </w:tc>
        <w:tc>
          <w:tcPr>
            <w:tcW w:type="dxa" w:w="3118"/>
            <w:vAlign w:val="center"/>
          </w:tcPr>
          <w:p>
            <w:pPr>
              <w:spacing w:after="0" w:line="240" w:lineRule="auto"/>
            </w:pPr>
            <w:r/>
            <w:r>
              <w:rPr>
                <w:rFonts w:ascii="Liberation Sans" w:hAnsi="Liberation Sans"/>
                <w:b w:val="0"/>
                <w:sz w:val="14"/>
              </w:rPr>
              <w:t>Protect conversion and habituation.</w:t>
            </w:r>
          </w:p>
        </w:tc>
      </w:tr>
      <w:tr>
        <w:trPr>
          <w:cantSplit/>
        </w:trPr>
        <w:tc>
          <w:tcPr>
            <w:tcW w:type="dxa" w:w="1701"/>
            <w:vAlign w:val="center"/>
          </w:tcPr>
          <w:p>
            <w:pPr>
              <w:spacing w:after="0" w:line="240" w:lineRule="auto"/>
            </w:pPr>
            <w:r/>
            <w:r>
              <w:rPr>
                <w:rFonts w:ascii="Liberation Sans" w:hAnsi="Liberation Sans"/>
                <w:b w:val="0"/>
                <w:sz w:val="14"/>
              </w:rPr>
              <w:t>ELEVATED</w:t>
            </w:r>
          </w:p>
        </w:tc>
        <w:tc>
          <w:tcPr>
            <w:tcW w:type="dxa" w:w="4989"/>
            <w:vAlign w:val="center"/>
          </w:tcPr>
          <w:p>
            <w:pPr>
              <w:spacing w:after="0" w:line="240" w:lineRule="auto"/>
            </w:pPr>
            <w:r/>
            <w:r>
              <w:rPr>
                <w:rFonts w:ascii="Liberation Sans" w:hAnsi="Liberation Sans"/>
                <w:b w:val="0"/>
                <w:sz w:val="14"/>
              </w:rPr>
              <w:t>Micro-inquiry: “Is another person directing this payment right now?” + neutral continue/cancel.</w:t>
            </w:r>
          </w:p>
        </w:tc>
        <w:tc>
          <w:tcPr>
            <w:tcW w:type="dxa" w:w="3118"/>
            <w:vAlign w:val="center"/>
          </w:tcPr>
          <w:p>
            <w:pPr>
              <w:spacing w:after="0" w:line="240" w:lineRule="auto"/>
            </w:pPr>
            <w:r/>
            <w:r>
              <w:rPr>
                <w:rFonts w:ascii="Liberation Sans" w:hAnsi="Liberation Sans"/>
                <w:b w:val="0"/>
                <w:sz w:val="14"/>
              </w:rPr>
              <w:t>Acquire evidence with minimal cost.</w:t>
            </w:r>
          </w:p>
        </w:tc>
      </w:tr>
      <w:tr>
        <w:trPr>
          <w:cantSplit/>
        </w:trPr>
        <w:tc>
          <w:tcPr>
            <w:tcW w:type="dxa" w:w="1701"/>
            <w:vAlign w:val="center"/>
          </w:tcPr>
          <w:p>
            <w:pPr>
              <w:spacing w:after="0" w:line="240" w:lineRule="auto"/>
            </w:pPr>
            <w:r/>
            <w:r>
              <w:rPr>
                <w:rFonts w:ascii="Liberation Sans" w:hAnsi="Liberation Sans"/>
                <w:b w:val="0"/>
                <w:sz w:val="14"/>
              </w:rPr>
              <w:t>MEDIUM</w:t>
            </w:r>
          </w:p>
        </w:tc>
        <w:tc>
          <w:tcPr>
            <w:tcW w:type="dxa" w:w="4989"/>
            <w:vAlign w:val="center"/>
          </w:tcPr>
          <w:p>
            <w:pPr>
              <w:spacing w:after="0" w:line="240" w:lineRule="auto"/>
            </w:pPr>
            <w:r/>
            <w:r>
              <w:rPr>
                <w:rFonts w:ascii="Liberation Sans" w:hAnsi="Liberation Sans"/>
                <w:b w:val="0"/>
                <w:sz w:val="14"/>
              </w:rPr>
              <w:t>Reflection: show beneficiary + amount; require a short independent confirmation.</w:t>
            </w:r>
          </w:p>
        </w:tc>
        <w:tc>
          <w:tcPr>
            <w:tcW w:type="dxa" w:w="3118"/>
            <w:vAlign w:val="center"/>
          </w:tcPr>
          <w:p>
            <w:pPr>
              <w:spacing w:after="0" w:line="240" w:lineRule="auto"/>
            </w:pPr>
            <w:r/>
            <w:r>
              <w:rPr>
                <w:rFonts w:ascii="Liberation Sans" w:hAnsi="Liberation Sans"/>
                <w:b w:val="0"/>
                <w:sz w:val="14"/>
              </w:rPr>
              <w:t>Break automatic compliance and re-anchor attention.</w:t>
            </w:r>
          </w:p>
        </w:tc>
      </w:tr>
      <w:tr>
        <w:trPr>
          <w:cantSplit/>
        </w:trPr>
        <w:tc>
          <w:tcPr>
            <w:tcW w:type="dxa" w:w="1701"/>
            <w:vAlign w:val="center"/>
          </w:tcPr>
          <w:p>
            <w:pPr>
              <w:spacing w:after="0" w:line="240" w:lineRule="auto"/>
            </w:pPr>
            <w:r/>
            <w:r>
              <w:rPr>
                <w:rFonts w:ascii="Liberation Sans" w:hAnsi="Liberation Sans"/>
                <w:b w:val="0"/>
                <w:sz w:val="14"/>
              </w:rPr>
              <w:t>HIGH_ACCESS</w:t>
            </w:r>
          </w:p>
        </w:tc>
        <w:tc>
          <w:tcPr>
            <w:tcW w:type="dxa" w:w="4989"/>
            <w:vAlign w:val="center"/>
          </w:tcPr>
          <w:p>
            <w:pPr>
              <w:spacing w:after="0" w:line="240" w:lineRule="auto"/>
            </w:pPr>
            <w:r/>
            <w:r>
              <w:rPr>
                <w:rFonts w:ascii="Liberation Sans" w:hAnsi="Liberation Sans"/>
                <w:b w:val="0"/>
                <w:sz w:val="14"/>
              </w:rPr>
              <w:t>Use platform/host remediation to close apps capable of capture/control before continuing.</w:t>
            </w:r>
          </w:p>
        </w:tc>
        <w:tc>
          <w:tcPr>
            <w:tcW w:type="dxa" w:w="3118"/>
            <w:vAlign w:val="center"/>
          </w:tcPr>
          <w:p>
            <w:pPr>
              <w:spacing w:after="0" w:line="240" w:lineRule="auto"/>
            </w:pPr>
            <w:r/>
            <w:r>
              <w:rPr>
                <w:rFonts w:ascii="Liberation Sans" w:hAnsi="Liberation Sans"/>
                <w:b w:val="0"/>
                <w:sz w:val="14"/>
              </w:rPr>
              <w:t>Remove remote-control observation/control surface where possible.</w:t>
            </w:r>
          </w:p>
        </w:tc>
      </w:tr>
      <w:tr>
        <w:trPr>
          <w:cantSplit/>
        </w:trPr>
        <w:tc>
          <w:tcPr>
            <w:tcW w:type="dxa" w:w="1701"/>
            <w:vAlign w:val="center"/>
          </w:tcPr>
          <w:p>
            <w:pPr>
              <w:spacing w:after="0" w:line="240" w:lineRule="auto"/>
            </w:pPr>
            <w:r/>
            <w:r>
              <w:rPr>
                <w:rFonts w:ascii="Liberation Sans" w:hAnsi="Liberation Sans"/>
                <w:b w:val="0"/>
                <w:sz w:val="14"/>
              </w:rPr>
              <w:t>HIGH_COERCION</w:t>
            </w:r>
          </w:p>
        </w:tc>
        <w:tc>
          <w:tcPr>
            <w:tcW w:type="dxa" w:w="4989"/>
            <w:vAlign w:val="center"/>
          </w:tcPr>
          <w:p>
            <w:pPr>
              <w:spacing w:after="0" w:line="240" w:lineRule="auto"/>
            </w:pPr>
            <w:r/>
            <w:r>
              <w:rPr>
                <w:rFonts w:ascii="Liberation Sans" w:hAnsi="Liberation Sans"/>
                <w:b w:val="0"/>
                <w:sz w:val="14"/>
              </w:rPr>
              <w:t>Cooling interval + safety message + option for independent verification.</w:t>
            </w:r>
          </w:p>
        </w:tc>
        <w:tc>
          <w:tcPr>
            <w:tcW w:type="dxa" w:w="3118"/>
            <w:vAlign w:val="center"/>
          </w:tcPr>
          <w:p>
            <w:pPr>
              <w:spacing w:after="0" w:line="240" w:lineRule="auto"/>
            </w:pPr>
            <w:r/>
            <w:r>
              <w:rPr>
                <w:rFonts w:ascii="Liberation Sans" w:hAnsi="Liberation Sans"/>
                <w:b w:val="0"/>
                <w:sz w:val="14"/>
              </w:rPr>
              <w:t>Break time pressure and synchronous coaching.</w:t>
            </w:r>
          </w:p>
        </w:tc>
      </w:tr>
      <w:tr>
        <w:trPr>
          <w:cantSplit/>
        </w:trPr>
        <w:tc>
          <w:tcPr>
            <w:tcW w:type="dxa" w:w="1701"/>
            <w:vAlign w:val="center"/>
          </w:tcPr>
          <w:p>
            <w:pPr>
              <w:spacing w:after="0" w:line="240" w:lineRule="auto"/>
            </w:pPr>
            <w:r/>
            <w:r>
              <w:rPr>
                <w:rFonts w:ascii="Liberation Sans" w:hAnsi="Liberation Sans"/>
                <w:b w:val="0"/>
                <w:sz w:val="14"/>
              </w:rPr>
              <w:t>CRITICAL / POLICY</w:t>
            </w:r>
          </w:p>
        </w:tc>
        <w:tc>
          <w:tcPr>
            <w:tcW w:type="dxa" w:w="4989"/>
            <w:vAlign w:val="center"/>
          </w:tcPr>
          <w:p>
            <w:pPr>
              <w:spacing w:after="0" w:line="240" w:lineRule="auto"/>
            </w:pPr>
            <w:r/>
            <w:r>
              <w:rPr>
                <w:rFonts w:ascii="Liberation Sans" w:hAnsi="Liberation Sans"/>
                <w:b w:val="0"/>
                <w:sz w:val="14"/>
              </w:rPr>
              <w:t>Bank step-up, manual fraud verification or institution-defined hold.</w:t>
            </w:r>
          </w:p>
        </w:tc>
        <w:tc>
          <w:tcPr>
            <w:tcW w:type="dxa" w:w="3118"/>
            <w:vAlign w:val="center"/>
          </w:tcPr>
          <w:p>
            <w:pPr>
              <w:spacing w:after="0" w:line="240" w:lineRule="auto"/>
            </w:pPr>
            <w:r/>
            <w:r>
              <w:rPr>
                <w:rFonts w:ascii="Liberation Sans" w:hAnsi="Liberation Sans"/>
                <w:b w:val="0"/>
                <w:sz w:val="14"/>
              </w:rPr>
              <w:t>Institutional enforcement, not unconstrained SDK action.</w:t>
            </w:r>
          </w:p>
        </w:tc>
      </w:tr>
    </w:tbl>
    <w:p>
      <w:pPr>
        <w:pStyle w:val="Tiny"/>
      </w:pPr>
    </w:p>
    <w:p>
      <w:pPr>
        <w:pStyle w:val="Heading2"/>
      </w:pPr>
      <w:r>
        <w:t>Platform-backed isolation</w:t>
      </w:r>
    </w:p>
    <w:p>
      <w:r>
        <w:t>Android Play Integrity can report whether apps are running that could capture the screen, display overlays or control the device. Current remediation dialogs include mechanisms to prompt closure of unknown or all capture/control risks. [EXT; Refs. 7–9] This is materially stronger and more privacy-preserving than attempting to enumerate every installed app or draw an unsafe overlay above a banking UI.</w:t>
      </w:r>
    </w:p>
    <w:p>
      <w:pPr>
        <w:pStyle w:val="Heading2"/>
      </w:pPr>
      <w:r>
        <w:t>Copy requirements</w:t>
      </w:r>
    </w:p>
    <w:p>
      <w:pPr>
        <w:ind w:left="215" w:hanging="125"/>
      </w:pPr>
      <w:r>
        <w:rPr>
          <w:b/>
        </w:rPr>
        <w:t xml:space="preserve">• </w:t>
      </w:r>
      <w:r>
        <w:t>Do not say “You are being scammed” when the model is uncertain.</w:t>
      </w:r>
    </w:p>
    <w:p>
      <w:pPr>
        <w:ind w:left="215" w:hanging="125"/>
      </w:pPr>
      <w:r>
        <w:rPr>
          <w:b/>
        </w:rPr>
        <w:t xml:space="preserve">• </w:t>
      </w:r>
      <w:r>
        <w:t>Do say what the system observed at a high level: “A screen-control risk is active during this payment.”</w:t>
      </w:r>
    </w:p>
    <w:p>
      <w:pPr>
        <w:ind w:left="215" w:hanging="125"/>
      </w:pPr>
      <w:r>
        <w:rPr>
          <w:b/>
        </w:rPr>
        <w:t xml:space="preserve">• </w:t>
      </w:r>
      <w:r>
        <w:t>Do not expose exact model thresholds, graph features or rule combinations.</w:t>
      </w:r>
    </w:p>
    <w:p>
      <w:pPr>
        <w:ind w:left="215" w:hanging="125"/>
      </w:pPr>
      <w:r>
        <w:rPr>
          <w:b/>
        </w:rPr>
        <w:t xml:space="preserve">• </w:t>
      </w:r>
      <w:r>
        <w:t>Always provide a legitimate recovery path: close risky access, verify independently, or contact the bank.</w:t>
      </w:r>
    </w:p>
    <w:p>
      <w:pPr>
        <w:ind w:left="215" w:hanging="125"/>
      </w:pPr>
      <w:r>
        <w:rPr>
          <w:b/>
        </w:rPr>
        <w:t xml:space="preserve">• </w:t>
      </w:r>
      <w:r>
        <w:t>Use plain language and regional-language-ready string resources; voice output is optional and must never read sensitive payment details aloud by default.</w:t>
      </w:r>
    </w:p>
    <w:p>
      <w:r>
        <w:br w:type="page"/>
      </w:r>
    </w:p>
    <w:p>
      <w:pPr>
        <w:spacing w:after="0"/>
      </w:pPr>
      <w:r>
        <w:rPr>
          <w:b/>
          <w:sz w:val="15"/>
        </w:rPr>
        <w:t>TRUSTED VERIFICATION</w:t>
      </w:r>
    </w:p>
    <w:p>
      <w:pPr>
        <w:pStyle w:val="Heading1"/>
      </w:pPr>
      <w:r>
        <w:t>Safety Circle, Bank Escalation and Consent Model</w:t>
      </w:r>
    </w:p>
    <w:p>
      <w:r>
        <w:t>The original “family emergency ping” becomes a user-configurable Safety Circle. Family is not universally safe, available or appropriate. The product must support a trusted friend, caregiver, sibling, spouse, or no personal contact, with a bank-fraud-desk fallback where available.</w:t>
      </w:r>
    </w:p>
    <w:tbl>
      <w:tblPr>
        <w:tblStyle w:val="TableGrid"/>
        <w:tblW w:type="auto" w:w="0"/>
        <w:jc w:val="center"/>
        <w:tblLook w:firstColumn="1" w:firstRow="1" w:lastColumn="0" w:lastRow="0" w:noHBand="0" w:noVBand="1" w:val="04A0"/>
      </w:tblPr>
      <w:tblGrid>
        <w:gridCol w:w="5188"/>
        <w:gridCol w:w="5188"/>
      </w:tblGrid>
      <w:tr>
        <w:trPr>
          <w:cantSplit/>
        </w:trPr>
        <w:tc>
          <w:tcPr>
            <w:tcW w:type="dxa" w:w="2268"/>
            <w:shd w:fill="E7E6E6"/>
            <w:vAlign w:val="center"/>
          </w:tcPr>
          <w:p>
            <w:pPr>
              <w:spacing w:after="0" w:line="240" w:lineRule="auto"/>
            </w:pPr>
            <w:r/>
            <w:r>
              <w:rPr>
                <w:rFonts w:ascii="Liberation Sans" w:hAnsi="Liberation Sans"/>
                <w:b/>
                <w:sz w:val="14"/>
              </w:rPr>
              <w:t>Requirement</w:t>
            </w:r>
          </w:p>
        </w:tc>
        <w:tc>
          <w:tcPr>
            <w:tcW w:type="dxa" w:w="7540"/>
            <w:shd w:fill="E7E6E6"/>
            <w:vAlign w:val="center"/>
          </w:tcPr>
          <w:p>
            <w:pPr>
              <w:spacing w:after="0" w:line="240" w:lineRule="auto"/>
            </w:pPr>
            <w:r/>
            <w:r>
              <w:rPr>
                <w:rFonts w:ascii="Liberation Sans" w:hAnsi="Liberation Sans"/>
                <w:b/>
                <w:sz w:val="14"/>
              </w:rPr>
              <w:t>Specification</w:t>
            </w:r>
          </w:p>
        </w:tc>
      </w:tr>
      <w:tr>
        <w:trPr>
          <w:cantSplit/>
        </w:trPr>
        <w:tc>
          <w:tcPr>
            <w:tcW w:type="dxa" w:w="2268"/>
            <w:vAlign w:val="center"/>
          </w:tcPr>
          <w:p>
            <w:pPr>
              <w:spacing w:after="0" w:line="240" w:lineRule="auto"/>
            </w:pPr>
            <w:r/>
            <w:r>
              <w:rPr>
                <w:rFonts w:ascii="Liberation Sans" w:hAnsi="Liberation Sans"/>
                <w:b w:val="0"/>
                <w:sz w:val="14"/>
              </w:rPr>
              <w:t>Enrollment</w:t>
            </w:r>
          </w:p>
        </w:tc>
        <w:tc>
          <w:tcPr>
            <w:tcW w:type="dxa" w:w="7540"/>
            <w:vAlign w:val="center"/>
          </w:tcPr>
          <w:p>
            <w:pPr>
              <w:spacing w:after="0" w:line="240" w:lineRule="auto"/>
            </w:pPr>
            <w:r/>
            <w:r>
              <w:rPr>
                <w:rFonts w:ascii="Liberation Sans" w:hAnsi="Liberation Sans"/>
                <w:b w:val="0"/>
                <w:sz w:val="14"/>
              </w:rPr>
              <w:t>Opt-in; contact verified out-of-band; user chooses relationship label and disclosure level.</w:t>
            </w:r>
          </w:p>
        </w:tc>
      </w:tr>
      <w:tr>
        <w:trPr>
          <w:cantSplit/>
        </w:trPr>
        <w:tc>
          <w:tcPr>
            <w:tcW w:type="dxa" w:w="2268"/>
            <w:vAlign w:val="center"/>
          </w:tcPr>
          <w:p>
            <w:pPr>
              <w:spacing w:after="0" w:line="240" w:lineRule="auto"/>
            </w:pPr>
            <w:r/>
            <w:r>
              <w:rPr>
                <w:rFonts w:ascii="Liberation Sans" w:hAnsi="Liberation Sans"/>
                <w:b w:val="0"/>
                <w:sz w:val="14"/>
              </w:rPr>
              <w:t>Trigger</w:t>
            </w:r>
          </w:p>
        </w:tc>
        <w:tc>
          <w:tcPr>
            <w:tcW w:type="dxa" w:w="7540"/>
            <w:vAlign w:val="center"/>
          </w:tcPr>
          <w:p>
            <w:pPr>
              <w:spacing w:after="0" w:line="240" w:lineRule="auto"/>
            </w:pPr>
            <w:r/>
            <w:r>
              <w:rPr>
                <w:rFonts w:ascii="Liberation Sans" w:hAnsi="Liberation Sans"/>
                <w:b w:val="0"/>
                <w:sz w:val="14"/>
              </w:rPr>
              <w:t>Only after policy decision + explicit user action, or institution-defined high-risk step-up where legally approved.</w:t>
            </w:r>
          </w:p>
        </w:tc>
      </w:tr>
      <w:tr>
        <w:trPr>
          <w:cantSplit/>
        </w:trPr>
        <w:tc>
          <w:tcPr>
            <w:tcW w:type="dxa" w:w="2268"/>
            <w:vAlign w:val="center"/>
          </w:tcPr>
          <w:p>
            <w:pPr>
              <w:spacing w:after="0" w:line="240" w:lineRule="auto"/>
            </w:pPr>
            <w:r/>
            <w:r>
              <w:rPr>
                <w:rFonts w:ascii="Liberation Sans" w:hAnsi="Liberation Sans"/>
                <w:b w:val="0"/>
                <w:sz w:val="14"/>
              </w:rPr>
              <w:t>Minimum disclosure</w:t>
            </w:r>
          </w:p>
        </w:tc>
        <w:tc>
          <w:tcPr>
            <w:tcW w:type="dxa" w:w="7540"/>
            <w:vAlign w:val="center"/>
          </w:tcPr>
          <w:p>
            <w:pPr>
              <w:spacing w:after="0" w:line="240" w:lineRule="auto"/>
            </w:pPr>
            <w:r/>
            <w:r>
              <w:rPr>
                <w:rFonts w:ascii="Liberation Sans" w:hAnsi="Liberation Sans"/>
                <w:b w:val="0"/>
                <w:sz w:val="14"/>
              </w:rPr>
              <w:t>“&lt;Name&gt; requested safety verification for a high-risk payment.” No amount/payee by default.</w:t>
            </w:r>
          </w:p>
        </w:tc>
      </w:tr>
      <w:tr>
        <w:trPr>
          <w:cantSplit/>
        </w:trPr>
        <w:tc>
          <w:tcPr>
            <w:tcW w:type="dxa" w:w="2268"/>
            <w:vAlign w:val="center"/>
          </w:tcPr>
          <w:p>
            <w:pPr>
              <w:spacing w:after="0" w:line="240" w:lineRule="auto"/>
            </w:pPr>
            <w:r/>
            <w:r>
              <w:rPr>
                <w:rFonts w:ascii="Liberation Sans" w:hAnsi="Liberation Sans"/>
                <w:b w:val="0"/>
                <w:sz w:val="14"/>
              </w:rPr>
              <w:t>Expanded disclosure</w:t>
            </w:r>
          </w:p>
        </w:tc>
        <w:tc>
          <w:tcPr>
            <w:tcW w:type="dxa" w:w="7540"/>
            <w:vAlign w:val="center"/>
          </w:tcPr>
          <w:p>
            <w:pPr>
              <w:spacing w:after="0" w:line="240" w:lineRule="auto"/>
            </w:pPr>
            <w:r/>
            <w:r>
              <w:rPr>
                <w:rFonts w:ascii="Liberation Sans" w:hAnsi="Liberation Sans"/>
                <w:b w:val="0"/>
                <w:sz w:val="14"/>
              </w:rPr>
              <w:t>Optional amount/payee only with prior consent and at time of escalation.</w:t>
            </w:r>
          </w:p>
        </w:tc>
      </w:tr>
      <w:tr>
        <w:trPr>
          <w:cantSplit/>
        </w:trPr>
        <w:tc>
          <w:tcPr>
            <w:tcW w:type="dxa" w:w="2268"/>
            <w:vAlign w:val="center"/>
          </w:tcPr>
          <w:p>
            <w:pPr>
              <w:spacing w:after="0" w:line="240" w:lineRule="auto"/>
            </w:pPr>
            <w:r/>
            <w:r>
              <w:rPr>
                <w:rFonts w:ascii="Liberation Sans" w:hAnsi="Liberation Sans"/>
                <w:b w:val="0"/>
                <w:sz w:val="14"/>
              </w:rPr>
              <w:t>Response</w:t>
            </w:r>
          </w:p>
        </w:tc>
        <w:tc>
          <w:tcPr>
            <w:tcW w:type="dxa" w:w="7540"/>
            <w:vAlign w:val="center"/>
          </w:tcPr>
          <w:p>
            <w:pPr>
              <w:spacing w:after="0" w:line="240" w:lineRule="auto"/>
            </w:pPr>
            <w:r/>
            <w:r>
              <w:rPr>
                <w:rFonts w:ascii="Liberation Sans" w:hAnsi="Liberation Sans"/>
                <w:b w:val="0"/>
                <w:sz w:val="14"/>
              </w:rPr>
              <w:t>Confirm user is safe / request direct call / cannot verify. Contact cannot directly authorise the transaction.</w:t>
            </w:r>
          </w:p>
        </w:tc>
      </w:tr>
      <w:tr>
        <w:trPr>
          <w:cantSplit/>
        </w:trPr>
        <w:tc>
          <w:tcPr>
            <w:tcW w:type="dxa" w:w="2268"/>
            <w:vAlign w:val="center"/>
          </w:tcPr>
          <w:p>
            <w:pPr>
              <w:spacing w:after="0" w:line="240" w:lineRule="auto"/>
            </w:pPr>
            <w:r/>
            <w:r>
              <w:rPr>
                <w:rFonts w:ascii="Liberation Sans" w:hAnsi="Liberation Sans"/>
                <w:b w:val="0"/>
                <w:sz w:val="14"/>
              </w:rPr>
              <w:t>Abuse protection</w:t>
            </w:r>
          </w:p>
        </w:tc>
        <w:tc>
          <w:tcPr>
            <w:tcW w:type="dxa" w:w="7540"/>
            <w:vAlign w:val="center"/>
          </w:tcPr>
          <w:p>
            <w:pPr>
              <w:spacing w:after="0" w:line="240" w:lineRule="auto"/>
            </w:pPr>
            <w:r/>
            <w:r>
              <w:rPr>
                <w:rFonts w:ascii="Liberation Sans" w:hAnsi="Liberation Sans"/>
                <w:b w:val="0"/>
                <w:sz w:val="14"/>
              </w:rPr>
              <w:t>Rate limits, contact revoke, device re-verification, session nonce, no persistent public link.</w:t>
            </w:r>
          </w:p>
        </w:tc>
      </w:tr>
      <w:tr>
        <w:trPr>
          <w:cantSplit/>
        </w:trPr>
        <w:tc>
          <w:tcPr>
            <w:tcW w:type="dxa" w:w="2268"/>
            <w:vAlign w:val="center"/>
          </w:tcPr>
          <w:p>
            <w:pPr>
              <w:spacing w:after="0" w:line="240" w:lineRule="auto"/>
            </w:pPr>
            <w:r/>
            <w:r>
              <w:rPr>
                <w:rFonts w:ascii="Liberation Sans" w:hAnsi="Liberation Sans"/>
                <w:b w:val="0"/>
                <w:sz w:val="14"/>
              </w:rPr>
              <w:t>No contact configured</w:t>
            </w:r>
          </w:p>
        </w:tc>
        <w:tc>
          <w:tcPr>
            <w:tcW w:type="dxa" w:w="7540"/>
            <w:vAlign w:val="center"/>
          </w:tcPr>
          <w:p>
            <w:pPr>
              <w:spacing w:after="0" w:line="240" w:lineRule="auto"/>
            </w:pPr>
            <w:r/>
            <w:r>
              <w:rPr>
                <w:rFonts w:ascii="Liberation Sans" w:hAnsi="Liberation Sans"/>
                <w:b w:val="0"/>
                <w:sz w:val="14"/>
              </w:rPr>
              <w:t>Offer bank fraud support / helpline pathway according to host policy.</w:t>
            </w:r>
          </w:p>
        </w:tc>
      </w:tr>
    </w:tbl>
    <w:p>
      <w:pPr>
        <w:pStyle w:val="Tiny"/>
      </w:pPr>
    </w:p>
    <w:p>
      <w:pPr>
        <w:pStyle w:val="Heading2"/>
      </w:pPr>
      <w:r>
        <w:t>Consent and data minimization</w:t>
      </w:r>
    </w:p>
    <w:p>
      <w:r>
        <w:t>The DPDP Act and Rules establish obligations around lawful processing, notice, purpose limitation and security safeguards; this PRD does not claim automatic compliance. [EXT; Refs. 12–13] Product requirements are therefore conservative: Vyuha must expose a host-readable data inventory, purpose strings, retention settings, consent/notice hooks where consent is the chosen basis, and deletion/export interfaces for data the host determines is personal data under applicable law.</w:t>
      </w:r>
    </w:p>
    <w:tbl>
      <w:tblPr>
        <w:tblStyle w:val="TableGrid"/>
        <w:tblW w:type="auto" w:w="0"/>
        <w:jc w:val="center"/>
        <w:tblLook w:firstColumn="1" w:firstRow="1" w:lastColumn="0" w:lastRow="0" w:noHBand="0" w:noVBand="1" w:val="04A0"/>
      </w:tblPr>
      <w:tblGrid>
        <w:gridCol w:w="10376"/>
      </w:tblGrid>
      <w:tr>
        <w:trPr>
          <w:cantSplit/>
        </w:trPr>
        <w:tc>
          <w:tcPr>
            <w:tcW w:type="dxa" w:w="10376"/>
            <w:shd w:fill="F2F2F2"/>
            <w:vAlign w:val="center"/>
          </w:tcPr>
          <w:p>
            <w:pPr>
              <w:spacing w:after="20"/>
            </w:pPr>
            <w:r/>
            <w:r>
              <w:rPr>
                <w:rFonts w:ascii="Liberation Sans" w:hAnsi="Liberation Sans"/>
                <w:b/>
                <w:sz w:val="17"/>
              </w:rPr>
              <w:t xml:space="preserve">Safety principle — </w:t>
            </w:r>
            <w:r>
              <w:rPr>
                <w:rFonts w:ascii="Liberation Sans" w:hAnsi="Liberation Sans"/>
                <w:sz w:val="17"/>
              </w:rPr>
              <w:t>A Safety Circle member receives enough information to help break isolation, not enough information to become a second surveillance channel.</w:t>
            </w:r>
          </w:p>
        </w:tc>
      </w:tr>
    </w:tbl>
    <w:p>
      <w:pPr>
        <w:pStyle w:val="Tiny"/>
      </w:pPr>
    </w:p>
    <w:p>
      <w:r>
        <w:br w:type="page"/>
      </w:r>
    </w:p>
    <w:p>
      <w:pPr>
        <w:spacing w:after="0"/>
      </w:pPr>
      <w:r>
        <w:rPr>
          <w:b/>
          <w:sz w:val="15"/>
        </w:rPr>
        <w:t>INTERFACES</w:t>
      </w:r>
    </w:p>
    <w:p>
      <w:pPr>
        <w:pStyle w:val="Heading1"/>
      </w:pPr>
      <w:r>
        <w:t>Android SDK / Host Contract</w:t>
      </w:r>
    </w:p>
    <w:p>
      <w:r>
        <w:t>The SDK API is designed around a protected payment session. Names below are normative conceptual interfaces; implementation language may be Kotlin/Java with a native C++ inference core.</w:t>
      </w:r>
    </w:p>
    <w:tbl>
      <w:tblPr>
        <w:tblStyle w:val="TableGrid"/>
        <w:tblW w:type="auto" w:w="0"/>
        <w:jc w:val="center"/>
        <w:tblLook w:firstColumn="1" w:firstRow="1" w:lastColumn="0" w:lastRow="0" w:noHBand="0" w:noVBand="1" w:val="04A0"/>
      </w:tblPr>
      <w:tblGrid>
        <w:gridCol w:w="5188"/>
        <w:gridCol w:w="5188"/>
      </w:tblGrid>
      <w:tr>
        <w:trPr>
          <w:cantSplit/>
        </w:trPr>
        <w:tc>
          <w:tcPr>
            <w:tcW w:type="dxa" w:w="2891"/>
            <w:shd w:fill="E7E6E6"/>
            <w:vAlign w:val="center"/>
          </w:tcPr>
          <w:p>
            <w:pPr>
              <w:spacing w:after="0" w:line="240" w:lineRule="auto"/>
            </w:pPr>
            <w:r/>
            <w:r>
              <w:rPr>
                <w:rFonts w:ascii="Liberation Sans" w:hAnsi="Liberation Sans"/>
                <w:b/>
                <w:sz w:val="14"/>
              </w:rPr>
              <w:t>Interface</w:t>
            </w:r>
          </w:p>
        </w:tc>
        <w:tc>
          <w:tcPr>
            <w:tcW w:type="dxa" w:w="6917"/>
            <w:shd w:fill="E7E6E6"/>
            <w:vAlign w:val="center"/>
          </w:tcPr>
          <w:p>
            <w:pPr>
              <w:spacing w:after="0" w:line="240" w:lineRule="auto"/>
            </w:pPr>
            <w:r/>
            <w:r>
              <w:rPr>
                <w:rFonts w:ascii="Liberation Sans" w:hAnsi="Liberation Sans"/>
                <w:b/>
                <w:sz w:val="14"/>
              </w:rPr>
              <w:t>Purpose / payload</w:t>
            </w:r>
          </w:p>
        </w:tc>
      </w:tr>
      <w:tr>
        <w:trPr>
          <w:cantSplit/>
        </w:trPr>
        <w:tc>
          <w:tcPr>
            <w:tcW w:type="dxa" w:w="2891"/>
            <w:vAlign w:val="center"/>
          </w:tcPr>
          <w:p>
            <w:pPr>
              <w:spacing w:after="0" w:line="240" w:lineRule="auto"/>
            </w:pPr>
            <w:r/>
            <w:r>
              <w:rPr>
                <w:rFonts w:ascii="Liberation Sans" w:hAnsi="Liberation Sans"/>
                <w:b w:val="0"/>
                <w:sz w:val="14"/>
              </w:rPr>
              <w:t>Vyuha.initialize(config)</w:t>
            </w:r>
          </w:p>
        </w:tc>
        <w:tc>
          <w:tcPr>
            <w:tcW w:type="dxa" w:w="6917"/>
            <w:vAlign w:val="center"/>
          </w:tcPr>
          <w:p>
            <w:pPr>
              <w:spacing w:after="0" w:line="240" w:lineRule="auto"/>
            </w:pPr>
            <w:r/>
            <w:r>
              <w:rPr>
                <w:rFonts w:ascii="Liberation Sans" w:hAnsi="Liberation Sans"/>
                <w:b w:val="0"/>
                <w:sz w:val="14"/>
              </w:rPr>
              <w:t>Loads signed model/policy bundle, keystore material, feature flags and host callbacks.</w:t>
            </w:r>
          </w:p>
        </w:tc>
      </w:tr>
      <w:tr>
        <w:trPr>
          <w:cantSplit/>
        </w:trPr>
        <w:tc>
          <w:tcPr>
            <w:tcW w:type="dxa" w:w="2891"/>
            <w:vAlign w:val="center"/>
          </w:tcPr>
          <w:p>
            <w:pPr>
              <w:spacing w:after="0" w:line="240" w:lineRule="auto"/>
            </w:pPr>
            <w:r/>
            <w:r>
              <w:rPr>
                <w:rFonts w:ascii="Liberation Sans" w:hAnsi="Liberation Sans"/>
                <w:b w:val="0"/>
                <w:sz w:val="14"/>
              </w:rPr>
              <w:t>startSession(TransactionContext)</w:t>
            </w:r>
          </w:p>
        </w:tc>
        <w:tc>
          <w:tcPr>
            <w:tcW w:type="dxa" w:w="6917"/>
            <w:vAlign w:val="center"/>
          </w:tcPr>
          <w:p>
            <w:pPr>
              <w:spacing w:after="0" w:line="240" w:lineRule="auto"/>
            </w:pPr>
            <w:r/>
            <w:r>
              <w:rPr>
                <w:rFonts w:ascii="Liberation Sans" w:hAnsi="Liberation Sans"/>
                <w:b w:val="0"/>
                <w:sz w:val="14"/>
              </w:rPr>
              <w:t>Creates nonce-bound state before authorization UI. TransactionContext includes amount, currency, payee pseudonymous ID, rail/mode, payee-new flag and optional host risk fields.</w:t>
            </w:r>
          </w:p>
        </w:tc>
      </w:tr>
      <w:tr>
        <w:trPr>
          <w:cantSplit/>
        </w:trPr>
        <w:tc>
          <w:tcPr>
            <w:tcW w:type="dxa" w:w="2891"/>
            <w:vAlign w:val="center"/>
          </w:tcPr>
          <w:p>
            <w:pPr>
              <w:spacing w:after="0" w:line="240" w:lineRule="auto"/>
            </w:pPr>
            <w:r/>
            <w:r>
              <w:rPr>
                <w:rFonts w:ascii="Liberation Sans" w:hAnsi="Liberation Sans"/>
                <w:b w:val="0"/>
                <w:sz w:val="14"/>
              </w:rPr>
              <w:t>observe(EventSnapshot)</w:t>
            </w:r>
          </w:p>
        </w:tc>
        <w:tc>
          <w:tcPr>
            <w:tcW w:type="dxa" w:w="6917"/>
            <w:vAlign w:val="center"/>
          </w:tcPr>
          <w:p>
            <w:pPr>
              <w:spacing w:after="0" w:line="240" w:lineRule="auto"/>
            </w:pPr>
            <w:r/>
            <w:r>
              <w:rPr>
                <w:rFonts w:ascii="Liberation Sans" w:hAnsi="Liberation Sans"/>
                <w:b w:val="0"/>
                <w:sz w:val="14"/>
              </w:rPr>
              <w:t>Adds coarse communication/device/access/interaction event; validates timestamp/order.</w:t>
            </w:r>
          </w:p>
        </w:tc>
      </w:tr>
      <w:tr>
        <w:trPr>
          <w:cantSplit/>
        </w:trPr>
        <w:tc>
          <w:tcPr>
            <w:tcW w:type="dxa" w:w="2891"/>
            <w:vAlign w:val="center"/>
          </w:tcPr>
          <w:p>
            <w:pPr>
              <w:spacing w:after="0" w:line="240" w:lineRule="auto"/>
            </w:pPr>
            <w:r/>
            <w:r>
              <w:rPr>
                <w:rFonts w:ascii="Liberation Sans" w:hAnsi="Liberation Sans"/>
                <w:b w:val="0"/>
                <w:sz w:val="14"/>
              </w:rPr>
              <w:t>assess() -&gt; RiskAssessment</w:t>
            </w:r>
          </w:p>
        </w:tc>
        <w:tc>
          <w:tcPr>
            <w:tcW w:type="dxa" w:w="6917"/>
            <w:vAlign w:val="center"/>
          </w:tcPr>
          <w:p>
            <w:pPr>
              <w:spacing w:after="0" w:line="240" w:lineRule="auto"/>
            </w:pPr>
            <w:r/>
            <w:r>
              <w:rPr>
                <w:rFonts w:ascii="Liberation Sans" w:hAnsi="Liberation Sans"/>
                <w:b w:val="0"/>
                <w:sz w:val="14"/>
              </w:rPr>
              <w:t>Runs local gate/experts, belief update, calibration and optional graph-token fusion.</w:t>
            </w:r>
          </w:p>
        </w:tc>
      </w:tr>
      <w:tr>
        <w:trPr>
          <w:cantSplit/>
        </w:trPr>
        <w:tc>
          <w:tcPr>
            <w:tcW w:type="dxa" w:w="2891"/>
            <w:vAlign w:val="center"/>
          </w:tcPr>
          <w:p>
            <w:pPr>
              <w:spacing w:after="0" w:line="240" w:lineRule="auto"/>
            </w:pPr>
            <w:r/>
            <w:r>
              <w:rPr>
                <w:rFonts w:ascii="Liberation Sans" w:hAnsi="Liberation Sans"/>
                <w:b w:val="0"/>
                <w:sz w:val="14"/>
              </w:rPr>
              <w:t>decide(RiskAssessment) -&gt; InterventionDecision</w:t>
            </w:r>
          </w:p>
        </w:tc>
        <w:tc>
          <w:tcPr>
            <w:tcW w:type="dxa" w:w="6917"/>
            <w:vAlign w:val="center"/>
          </w:tcPr>
          <w:p>
            <w:pPr>
              <w:spacing w:after="0" w:line="240" w:lineRule="auto"/>
            </w:pPr>
            <w:r/>
            <w:r>
              <w:rPr>
                <w:rFonts w:ascii="Liberation Sans" w:hAnsi="Liberation Sans"/>
                <w:b w:val="0"/>
                <w:sz w:val="14"/>
              </w:rPr>
              <w:t>Applies local frozen policy + host constraints.</w:t>
            </w:r>
          </w:p>
        </w:tc>
      </w:tr>
      <w:tr>
        <w:trPr>
          <w:cantSplit/>
        </w:trPr>
        <w:tc>
          <w:tcPr>
            <w:tcW w:type="dxa" w:w="2891"/>
            <w:vAlign w:val="center"/>
          </w:tcPr>
          <w:p>
            <w:pPr>
              <w:spacing w:after="0" w:line="240" w:lineRule="auto"/>
            </w:pPr>
            <w:r/>
            <w:r>
              <w:rPr>
                <w:rFonts w:ascii="Liberation Sans" w:hAnsi="Liberation Sans"/>
                <w:b w:val="0"/>
                <w:sz w:val="14"/>
              </w:rPr>
              <w:t>recordResponse(UserResponse)</w:t>
            </w:r>
          </w:p>
        </w:tc>
        <w:tc>
          <w:tcPr>
            <w:tcW w:type="dxa" w:w="6917"/>
            <w:vAlign w:val="center"/>
          </w:tcPr>
          <w:p>
            <w:pPr>
              <w:spacing w:after="0" w:line="240" w:lineRule="auto"/>
            </w:pPr>
            <w:r/>
            <w:r>
              <w:rPr>
                <w:rFonts w:ascii="Liberation Sans" w:hAnsi="Liberation Sans"/>
                <w:b w:val="0"/>
                <w:sz w:val="14"/>
              </w:rPr>
              <w:t>Feeds action outcome back into the current belief state.</w:t>
            </w:r>
          </w:p>
        </w:tc>
      </w:tr>
      <w:tr>
        <w:trPr>
          <w:cantSplit/>
        </w:trPr>
        <w:tc>
          <w:tcPr>
            <w:tcW w:type="dxa" w:w="2891"/>
            <w:vAlign w:val="center"/>
          </w:tcPr>
          <w:p>
            <w:pPr>
              <w:spacing w:after="0" w:line="240" w:lineRule="auto"/>
            </w:pPr>
            <w:r/>
            <w:r>
              <w:rPr>
                <w:rFonts w:ascii="Liberation Sans" w:hAnsi="Liberation Sans"/>
                <w:b w:val="0"/>
                <w:sz w:val="14"/>
              </w:rPr>
              <w:t>complete(Outcome)</w:t>
            </w:r>
          </w:p>
        </w:tc>
        <w:tc>
          <w:tcPr>
            <w:tcW w:type="dxa" w:w="6917"/>
            <w:vAlign w:val="center"/>
          </w:tcPr>
          <w:p>
            <w:pPr>
              <w:spacing w:after="0" w:line="240" w:lineRule="auto"/>
            </w:pPr>
            <w:r/>
            <w:r>
              <w:rPr>
                <w:rFonts w:ascii="Liberation Sans" w:hAnsi="Liberation Sans"/>
                <w:b w:val="0"/>
                <w:sz w:val="14"/>
              </w:rPr>
              <w:t>Finalises trace; queues privacy-minimal audit/outcome envelope.</w:t>
            </w:r>
          </w:p>
        </w:tc>
      </w:tr>
      <w:tr>
        <w:trPr>
          <w:cantSplit/>
        </w:trPr>
        <w:tc>
          <w:tcPr>
            <w:tcW w:type="dxa" w:w="2891"/>
            <w:vAlign w:val="center"/>
          </w:tcPr>
          <w:p>
            <w:pPr>
              <w:spacing w:after="0" w:line="240" w:lineRule="auto"/>
            </w:pPr>
            <w:r/>
            <w:r>
              <w:rPr>
                <w:rFonts w:ascii="Liberation Sans" w:hAnsi="Liberation Sans"/>
                <w:b w:val="0"/>
                <w:sz w:val="14"/>
              </w:rPr>
              <w:t>updateBundle(SignedManifest)</w:t>
            </w:r>
          </w:p>
        </w:tc>
        <w:tc>
          <w:tcPr>
            <w:tcW w:type="dxa" w:w="6917"/>
            <w:vAlign w:val="center"/>
          </w:tcPr>
          <w:p>
            <w:pPr>
              <w:spacing w:after="0" w:line="240" w:lineRule="auto"/>
            </w:pPr>
            <w:r/>
            <w:r>
              <w:rPr>
                <w:rFonts w:ascii="Liberation Sans" w:hAnsi="Liberation Sans"/>
                <w:b w:val="0"/>
                <w:sz w:val="14"/>
              </w:rPr>
              <w:t>Atomic verified model/config update with rollback to last-known-good.</w:t>
            </w:r>
          </w:p>
        </w:tc>
      </w:tr>
    </w:tbl>
    <w:p>
      <w:pPr>
        <w:pStyle w:val="Tiny"/>
      </w:pPr>
    </w:p>
    <w:p>
      <w:pPr>
        <w:pStyle w:val="Heading2"/>
      </w:pPr>
      <w:r>
        <w:t>Core data classes</w:t>
      </w:r>
    </w:p>
    <w:p>
      <w:r>
        <w:t>`RiskAssessment { riskScore, riskTier, confidence, abstain, localExpertScores, graphRisk?, missingMask, reasonCodes[], modelVersion, policyVersion, timings }`</w:t>
      </w:r>
    </w:p>
    <w:p>
      <w:r>
        <w:t>`InterventionDecision { actionId, severity, copyKey, remediationType?, coolingMs?, escalationAllowed, hostEnforcementHint, reasonCodes[] }`</w:t>
      </w:r>
    </w:p>
    <w:p>
      <w:r>
        <w:t>`DecisionTrace { sessionNonce, eventHashes[], assessmentHash, actionHistory[], outcomeCode, model/policy versions, latencyBreakdown }`</w:t>
      </w:r>
    </w:p>
    <w:p>
      <w:pPr>
        <w:pStyle w:val="Heading2"/>
      </w:pPr>
      <w:r>
        <w:t>Host integration rules</w:t>
      </w:r>
    </w:p>
    <w:p>
      <w:pPr>
        <w:ind w:left="215" w:hanging="125"/>
      </w:pPr>
      <w:r>
        <w:rPr>
          <w:b/>
        </w:rPr>
        <w:t xml:space="preserve">• </w:t>
      </w:r>
      <w:r>
        <w:t>The host renders all payment UI natively; Vyuha does not require SYSTEM_ALERT_WINDOW for core flows.</w:t>
      </w:r>
    </w:p>
    <w:p>
      <w:pPr>
        <w:ind w:left="215" w:hanging="125"/>
      </w:pPr>
      <w:r>
        <w:rPr>
          <w:b/>
        </w:rPr>
        <w:t xml:space="preserve">• </w:t>
      </w:r>
      <w:r>
        <w:t>The host must call `startSession` before final authorization and must not reuse a session nonce across transactions.</w:t>
      </w:r>
    </w:p>
    <w:p>
      <w:pPr>
        <w:ind w:left="215" w:hanging="125"/>
      </w:pPr>
      <w:r>
        <w:rPr>
          <w:b/>
        </w:rPr>
        <w:t xml:space="preserve">• </w:t>
      </w:r>
      <w:r>
        <w:t>The host must support a fail-open/fail-safe policy configured by the institution; SDK exceptions cannot silently masquerade as PASS.</w:t>
      </w:r>
    </w:p>
    <w:p>
      <w:pPr>
        <w:ind w:left="215" w:hanging="125"/>
      </w:pPr>
      <w:r>
        <w:rPr>
          <w:b/>
        </w:rPr>
        <w:t xml:space="preserve">• </w:t>
      </w:r>
      <w:r>
        <w:t>Personally identifying fields should be tokenized/pseudonymized before entering the local ML feature vector where not needed in raw form.</w:t>
      </w:r>
    </w:p>
    <w:p>
      <w:r>
        <w:br w:type="page"/>
      </w:r>
    </w:p>
    <w:p>
      <w:pPr>
        <w:spacing w:after="0"/>
      </w:pPr>
      <w:r>
        <w:rPr>
          <w:b/>
          <w:sz w:val="15"/>
        </w:rPr>
        <w:t>INTERFACES</w:t>
      </w:r>
    </w:p>
    <w:p>
      <w:pPr>
        <w:pStyle w:val="Heading1"/>
      </w:pPr>
      <w:r>
        <w:t>Institutional Graph Service, Event Schemas and Signed Tokens</w:t>
      </w:r>
    </w:p>
    <w:p>
      <w:r>
        <w:t>The institutional interface can be REST or gRPC; the logical contract is stable. The graph service is not queried by beneficiary raw account number from an untrusted client. The participating host/backend should broker requests, bind them to the transaction and return a signed token to the edge SDK.</w:t>
      </w:r>
    </w:p>
    <w:tbl>
      <w:tblPr>
        <w:tblStyle w:val="TableGrid"/>
        <w:tblW w:type="auto" w:w="0"/>
        <w:jc w:val="center"/>
        <w:tblLook w:firstColumn="1" w:firstRow="1" w:lastColumn="0" w:lastRow="0" w:noHBand="0" w:noVBand="1" w:val="04A0"/>
      </w:tblPr>
      <w:tblGrid>
        <w:gridCol w:w="5188"/>
        <w:gridCol w:w="5188"/>
      </w:tblGrid>
      <w:tr>
        <w:trPr>
          <w:cantSplit/>
        </w:trPr>
        <w:tc>
          <w:tcPr>
            <w:tcW w:type="dxa" w:w="2608"/>
            <w:shd w:fill="E7E6E6"/>
            <w:vAlign w:val="center"/>
          </w:tcPr>
          <w:p>
            <w:pPr>
              <w:spacing w:after="0" w:line="240" w:lineRule="auto"/>
            </w:pPr>
            <w:r/>
            <w:r>
              <w:rPr>
                <w:rFonts w:ascii="Liberation Sans" w:hAnsi="Liberation Sans"/>
                <w:b/>
                <w:sz w:val="14"/>
              </w:rPr>
              <w:t>Endpoint / event</w:t>
            </w:r>
          </w:p>
        </w:tc>
        <w:tc>
          <w:tcPr>
            <w:tcW w:type="dxa" w:w="7200"/>
            <w:shd w:fill="E7E6E6"/>
            <w:vAlign w:val="center"/>
          </w:tcPr>
          <w:p>
            <w:pPr>
              <w:spacing w:after="0" w:line="240" w:lineRule="auto"/>
            </w:pPr>
            <w:r/>
            <w:r>
              <w:rPr>
                <w:rFonts w:ascii="Liberation Sans" w:hAnsi="Liberation Sans"/>
                <w:b/>
                <w:sz w:val="14"/>
              </w:rPr>
              <w:t>Contract</w:t>
            </w:r>
          </w:p>
        </w:tc>
      </w:tr>
      <w:tr>
        <w:trPr>
          <w:cantSplit/>
        </w:trPr>
        <w:tc>
          <w:tcPr>
            <w:tcW w:type="dxa" w:w="2608"/>
            <w:vAlign w:val="center"/>
          </w:tcPr>
          <w:p>
            <w:pPr>
              <w:spacing w:after="0" w:line="240" w:lineRule="auto"/>
            </w:pPr>
            <w:r/>
            <w:r>
              <w:rPr>
                <w:rFonts w:ascii="Liberation Sans" w:hAnsi="Liberation Sans"/>
                <w:b w:val="0"/>
                <w:sz w:val="14"/>
              </w:rPr>
              <w:t>POST /v1/beneficiary-risk</w:t>
            </w:r>
          </w:p>
        </w:tc>
        <w:tc>
          <w:tcPr>
            <w:tcW w:type="dxa" w:w="7200"/>
            <w:vAlign w:val="center"/>
          </w:tcPr>
          <w:p>
            <w:pPr>
              <w:spacing w:after="0" w:line="240" w:lineRule="auto"/>
            </w:pPr>
            <w:r/>
            <w:r>
              <w:rPr>
                <w:rFonts w:ascii="Liberation Sans" w:hAnsi="Liberation Sans"/>
                <w:b w:val="0"/>
                <w:sz w:val="14"/>
              </w:rPr>
              <w:t>Input: institution-resolved beneficiary ID, session nonce, coarse transaction context. Output: signed RiskToken.</w:t>
            </w:r>
          </w:p>
        </w:tc>
      </w:tr>
      <w:tr>
        <w:trPr>
          <w:cantSplit/>
        </w:trPr>
        <w:tc>
          <w:tcPr>
            <w:tcW w:type="dxa" w:w="2608"/>
            <w:vAlign w:val="center"/>
          </w:tcPr>
          <w:p>
            <w:pPr>
              <w:spacing w:after="0" w:line="240" w:lineRule="auto"/>
            </w:pPr>
            <w:r/>
            <w:r>
              <w:rPr>
                <w:rFonts w:ascii="Liberation Sans" w:hAnsi="Liberation Sans"/>
                <w:b w:val="0"/>
                <w:sz w:val="14"/>
              </w:rPr>
              <w:t>POST /v1/outcomes</w:t>
            </w:r>
          </w:p>
        </w:tc>
        <w:tc>
          <w:tcPr>
            <w:tcW w:type="dxa" w:w="7200"/>
            <w:vAlign w:val="center"/>
          </w:tcPr>
          <w:p>
            <w:pPr>
              <w:spacing w:after="0" w:line="240" w:lineRule="auto"/>
            </w:pPr>
            <w:r/>
            <w:r>
              <w:rPr>
                <w:rFonts w:ascii="Liberation Sans" w:hAnsi="Liberation Sans"/>
                <w:b w:val="0"/>
                <w:sz w:val="14"/>
              </w:rPr>
              <w:t>Asynchronous structured outcome: action, cancellation/continue, confirmed fraud label when later available, no raw screen/call content.</w:t>
            </w:r>
          </w:p>
        </w:tc>
      </w:tr>
      <w:tr>
        <w:trPr>
          <w:cantSplit/>
        </w:trPr>
        <w:tc>
          <w:tcPr>
            <w:tcW w:type="dxa" w:w="2608"/>
            <w:vAlign w:val="center"/>
          </w:tcPr>
          <w:p>
            <w:pPr>
              <w:spacing w:after="0" w:line="240" w:lineRule="auto"/>
            </w:pPr>
            <w:r/>
            <w:r>
              <w:rPr>
                <w:rFonts w:ascii="Liberation Sans" w:hAnsi="Liberation Sans"/>
                <w:b w:val="0"/>
                <w:sz w:val="14"/>
              </w:rPr>
              <w:t>GET /v1/model-manifest</w:t>
            </w:r>
          </w:p>
        </w:tc>
        <w:tc>
          <w:tcPr>
            <w:tcW w:type="dxa" w:w="7200"/>
            <w:vAlign w:val="center"/>
          </w:tcPr>
          <w:p>
            <w:pPr>
              <w:spacing w:after="0" w:line="240" w:lineRule="auto"/>
            </w:pPr>
            <w:r/>
            <w:r>
              <w:rPr>
                <w:rFonts w:ascii="Liberation Sans" w:hAnsi="Liberation Sans"/>
                <w:b w:val="0"/>
                <w:sz w:val="14"/>
              </w:rPr>
              <w:t>Version metadata, compatibility, calibration/policy hashes; actual bundles distributed through signed channel.</w:t>
            </w:r>
          </w:p>
        </w:tc>
      </w:tr>
      <w:tr>
        <w:trPr>
          <w:cantSplit/>
        </w:trPr>
        <w:tc>
          <w:tcPr>
            <w:tcW w:type="dxa" w:w="2608"/>
            <w:vAlign w:val="center"/>
          </w:tcPr>
          <w:p>
            <w:pPr>
              <w:spacing w:after="0" w:line="240" w:lineRule="auto"/>
            </w:pPr>
            <w:r/>
            <w:r>
              <w:rPr>
                <w:rFonts w:ascii="Liberation Sans" w:hAnsi="Liberation Sans"/>
                <w:b w:val="0"/>
                <w:sz w:val="14"/>
              </w:rPr>
              <w:t>GraphEvent ingest</w:t>
            </w:r>
          </w:p>
        </w:tc>
        <w:tc>
          <w:tcPr>
            <w:tcW w:type="dxa" w:w="7200"/>
            <w:vAlign w:val="center"/>
          </w:tcPr>
          <w:p>
            <w:pPr>
              <w:spacing w:after="0" w:line="240" w:lineRule="auto"/>
            </w:pPr>
            <w:r/>
            <w:r>
              <w:rPr>
                <w:rFonts w:ascii="Liberation Sans" w:hAnsi="Liberation Sans"/>
                <w:b w:val="0"/>
                <w:sz w:val="14"/>
              </w:rPr>
              <w:t>Typed event-time edge for payments, device/account association, complaint link, phone risk tier, merchant relation, etc.</w:t>
            </w:r>
          </w:p>
        </w:tc>
      </w:tr>
      <w:tr>
        <w:trPr>
          <w:cantSplit/>
        </w:trPr>
        <w:tc>
          <w:tcPr>
            <w:tcW w:type="dxa" w:w="2608"/>
            <w:vAlign w:val="center"/>
          </w:tcPr>
          <w:p>
            <w:pPr>
              <w:spacing w:after="0" w:line="240" w:lineRule="auto"/>
            </w:pPr>
            <w:r/>
            <w:r>
              <w:rPr>
                <w:rFonts w:ascii="Liberation Sans" w:hAnsi="Liberation Sans"/>
                <w:b w:val="0"/>
                <w:sz w:val="14"/>
              </w:rPr>
              <w:t>RiskToken verify</w:t>
            </w:r>
          </w:p>
        </w:tc>
        <w:tc>
          <w:tcPr>
            <w:tcW w:type="dxa" w:w="7200"/>
            <w:vAlign w:val="center"/>
          </w:tcPr>
          <w:p>
            <w:pPr>
              <w:spacing w:after="0" w:line="240" w:lineRule="auto"/>
            </w:pPr>
            <w:r/>
            <w:r>
              <w:rPr>
                <w:rFonts w:ascii="Liberation Sans" w:hAnsi="Liberation Sans"/>
                <w:b w:val="0"/>
                <w:sz w:val="14"/>
              </w:rPr>
              <w:t>Edge checks issuer key, beneficiary binding, session nonce, issued/expiry times and signature before fusion.</w:t>
            </w:r>
          </w:p>
        </w:tc>
      </w:tr>
    </w:tbl>
    <w:p>
      <w:pPr>
        <w:pStyle w:val="Tiny"/>
      </w:pPr>
    </w:p>
    <w:p>
      <w:pPr>
        <w:pStyle w:val="Heading2"/>
      </w:pPr>
      <w:r>
        <w:t>Example event envelope</w:t>
      </w:r>
    </w:p>
    <w:p>
      <w:pPr>
        <w:pStyle w:val="Callout"/>
      </w:pPr>
      <w:r>
        <w:t>`{event_id, ts, src_type, src_id_token, relation, dst_type, dst_id_token, amount_bucket, channel, institution_id, label_state, provenance}``</w:t>
      </w:r>
    </w:p>
    <w:p>
      <w:pPr>
        <w:pStyle w:val="Heading2"/>
      </w:pPr>
      <w:r>
        <w:t>Retention and lineage</w:t>
      </w:r>
    </w:p>
    <w:p>
      <w:pPr>
        <w:ind w:left="215" w:hanging="125"/>
      </w:pPr>
      <w:r>
        <w:rPr>
          <w:b/>
        </w:rPr>
        <w:t xml:space="preserve">• </w:t>
      </w:r>
      <w:r>
        <w:t>Every training example must retain provenance to source table/event class and label timestamp so post-event labels do not leak into earlier predictions.</w:t>
      </w:r>
    </w:p>
    <w:p>
      <w:pPr>
        <w:ind w:left="215" w:hanging="125"/>
      </w:pPr>
      <w:r>
        <w:rPr>
          <w:b/>
        </w:rPr>
        <w:t xml:space="preserve">• </w:t>
      </w:r>
      <w:r>
        <w:t>Graph snapshots and train/test splits are time-versioned to prevent future-edge leakage.</w:t>
      </w:r>
    </w:p>
    <w:p>
      <w:pPr>
        <w:ind w:left="215" w:hanging="125"/>
      </w:pPr>
      <w:r>
        <w:rPr>
          <w:b/>
        </w:rPr>
        <w:t xml:space="preserve">• </w:t>
      </w:r>
      <w:r>
        <w:t>Outcome labels have states: UNKNOWN, USER_CANCELLED, VERIFIED_SAFE, SUSPECTED_FRAUD, CONFIRMED_FRAUD; model training uses only approved label states.</w:t>
      </w:r>
    </w:p>
    <w:p>
      <w:pPr>
        <w:ind w:left="215" w:hanging="125"/>
      </w:pPr>
      <w:r>
        <w:rPr>
          <w:b/>
        </w:rPr>
        <w:t xml:space="preserve">• </w:t>
      </w:r>
      <w:r>
        <w:t>Model registry records graph schema version, feature code hash, sampling configuration, training date range and calibration date range.</w:t>
      </w:r>
    </w:p>
    <w:tbl>
      <w:tblPr>
        <w:tblStyle w:val="TableGrid"/>
        <w:tblW w:type="auto" w:w="0"/>
        <w:jc w:val="center"/>
        <w:tblLook w:firstColumn="1" w:firstRow="1" w:lastColumn="0" w:lastRow="0" w:noHBand="0" w:noVBand="1" w:val="04A0"/>
      </w:tblPr>
      <w:tblGrid>
        <w:gridCol w:w="10376"/>
      </w:tblGrid>
      <w:tr>
        <w:trPr>
          <w:cantSplit/>
        </w:trPr>
        <w:tc>
          <w:tcPr>
            <w:tcW w:type="dxa" w:w="10376"/>
            <w:shd w:fill="F2F2F2"/>
            <w:vAlign w:val="center"/>
          </w:tcPr>
          <w:p>
            <w:pPr>
              <w:spacing w:after="20"/>
            </w:pPr>
            <w:r/>
            <w:r>
              <w:rPr>
                <w:rFonts w:ascii="Liberation Sans" w:hAnsi="Liberation Sans"/>
                <w:b/>
                <w:sz w:val="17"/>
              </w:rPr>
              <w:t xml:space="preserve">Security boundary — </w:t>
            </w:r>
            <w:r>
              <w:rPr>
                <w:rFonts w:ascii="Liberation Sans" w:hAnsi="Liberation Sans"/>
                <w:sz w:val="17"/>
              </w:rPr>
              <w:t>The handset should not receive raw neighbor identities or a complete mule graph. Its job is to consume a risk token, not become a portable intelligence database.</w:t>
            </w:r>
          </w:p>
        </w:tc>
      </w:tr>
    </w:tbl>
    <w:p>
      <w:pPr>
        <w:pStyle w:val="Tiny"/>
      </w:pPr>
    </w:p>
    <w:p>
      <w:r>
        <w:br w:type="page"/>
      </w:r>
    </w:p>
    <w:p>
      <w:pPr>
        <w:spacing w:after="0"/>
      </w:pPr>
      <w:r>
        <w:rPr>
          <w:b/>
          <w:sz w:val="15"/>
        </w:rPr>
        <w:t>PRIVACY &amp; COMPLIANCE</w:t>
      </w:r>
    </w:p>
    <w:p>
      <w:pPr>
        <w:pStyle w:val="Heading1"/>
      </w:pPr>
      <w:r>
        <w:t>Data Flow, DPDP Alignment and Governance Controls</w:t>
      </w:r>
    </w:p>
    <w:p>
      <w:pPr>
        <w:jc w:val="center"/>
      </w:pPr>
      <w:r>
        <w:drawing>
          <wp:inline xmlns:a="http://schemas.openxmlformats.org/drawingml/2006/main" xmlns:pic="http://schemas.openxmlformats.org/drawingml/2006/picture">
            <wp:extent cx="6048000" cy="3237502"/>
            <wp:docPr id="5" name="Picture 5"/>
            <wp:cNvGraphicFramePr>
              <a:graphicFrameLocks noChangeAspect="1"/>
            </wp:cNvGraphicFramePr>
            <a:graphic>
              <a:graphicData uri="http://schemas.openxmlformats.org/drawingml/2006/picture">
                <pic:pic>
                  <pic:nvPicPr>
                    <pic:cNvPr id="0" name="privacy.png"/>
                    <pic:cNvPicPr/>
                  </pic:nvPicPr>
                  <pic:blipFill>
                    <a:blip r:embed="rId14"/>
                    <a:stretch>
                      <a:fillRect/>
                    </a:stretch>
                  </pic:blipFill>
                  <pic:spPr>
                    <a:xfrm>
                      <a:off x="0" y="0"/>
                      <a:ext cx="6048000" cy="3237502"/>
                    </a:xfrm>
                    <a:prstGeom prst="rect"/>
                  </pic:spPr>
                </pic:pic>
              </a:graphicData>
            </a:graphic>
          </wp:inline>
        </w:drawing>
      </w:r>
    </w:p>
    <w:p>
      <w:pPr>
        <w:pStyle w:val="Caption"/>
        <w:jc w:val="center"/>
      </w:pPr>
      <w:r>
        <w:t>Figure 5. Data-minimisation architecture. “Not collected” applies to the Vyuha core design; a host app may have its own independent data practices.</w:t>
      </w:r>
    </w:p>
    <w:p>
      <w:pPr>
        <w:pStyle w:val="Heading2"/>
      </w:pPr>
      <w:r>
        <w:t>Governance requirements</w:t>
      </w:r>
    </w:p>
    <w:tbl>
      <w:tblPr>
        <w:tblStyle w:val="TableGrid"/>
        <w:tblW w:type="auto" w:w="0"/>
        <w:jc w:val="center"/>
        <w:tblLook w:firstColumn="1" w:firstRow="1" w:lastColumn="0" w:lastRow="0" w:noHBand="0" w:noVBand="1" w:val="04A0"/>
      </w:tblPr>
      <w:tblGrid>
        <w:gridCol w:w="5188"/>
        <w:gridCol w:w="5188"/>
      </w:tblGrid>
      <w:tr>
        <w:trPr>
          <w:cantSplit/>
        </w:trPr>
        <w:tc>
          <w:tcPr>
            <w:tcW w:type="dxa" w:w="1928"/>
            <w:shd w:fill="E7E6E6"/>
            <w:vAlign w:val="center"/>
          </w:tcPr>
          <w:p>
            <w:pPr>
              <w:spacing w:after="0" w:line="240" w:lineRule="auto"/>
            </w:pPr>
            <w:r/>
            <w:r>
              <w:rPr>
                <w:rFonts w:ascii="Liberation Sans" w:hAnsi="Liberation Sans"/>
                <w:b/>
                <w:sz w:val="14"/>
              </w:rPr>
              <w:t>Control</w:t>
            </w:r>
          </w:p>
        </w:tc>
        <w:tc>
          <w:tcPr>
            <w:tcW w:type="dxa" w:w="7880"/>
            <w:shd w:fill="E7E6E6"/>
            <w:vAlign w:val="center"/>
          </w:tcPr>
          <w:p>
            <w:pPr>
              <w:spacing w:after="0" w:line="240" w:lineRule="auto"/>
            </w:pPr>
            <w:r/>
            <w:r>
              <w:rPr>
                <w:rFonts w:ascii="Liberation Sans" w:hAnsi="Liberation Sans"/>
                <w:b/>
                <w:sz w:val="14"/>
              </w:rPr>
              <w:t>PRD requirement</w:t>
            </w:r>
          </w:p>
        </w:tc>
      </w:tr>
      <w:tr>
        <w:trPr>
          <w:cantSplit/>
        </w:trPr>
        <w:tc>
          <w:tcPr>
            <w:tcW w:type="dxa" w:w="1928"/>
            <w:vAlign w:val="center"/>
          </w:tcPr>
          <w:p>
            <w:pPr>
              <w:spacing w:after="0" w:line="240" w:lineRule="auto"/>
            </w:pPr>
            <w:r/>
            <w:r>
              <w:rPr>
                <w:rFonts w:ascii="Liberation Sans" w:hAnsi="Liberation Sans"/>
                <w:b w:val="0"/>
                <w:sz w:val="14"/>
              </w:rPr>
              <w:t>Data inventory</w:t>
            </w:r>
          </w:p>
        </w:tc>
        <w:tc>
          <w:tcPr>
            <w:tcW w:type="dxa" w:w="7880"/>
            <w:vAlign w:val="center"/>
          </w:tcPr>
          <w:p>
            <w:pPr>
              <w:spacing w:after="0" w:line="240" w:lineRule="auto"/>
            </w:pPr>
            <w:r/>
            <w:r>
              <w:rPr>
                <w:rFonts w:ascii="Liberation Sans" w:hAnsi="Liberation Sans"/>
                <w:b w:val="0"/>
                <w:sz w:val="14"/>
              </w:rPr>
              <w:t>Maintain field-level catalogue: source, purpose, retention, local/remote, personal-data classification by institution counsel.</w:t>
            </w:r>
          </w:p>
        </w:tc>
      </w:tr>
      <w:tr>
        <w:trPr>
          <w:cantSplit/>
        </w:trPr>
        <w:tc>
          <w:tcPr>
            <w:tcW w:type="dxa" w:w="1928"/>
            <w:vAlign w:val="center"/>
          </w:tcPr>
          <w:p>
            <w:pPr>
              <w:spacing w:after="0" w:line="240" w:lineRule="auto"/>
            </w:pPr>
            <w:r/>
            <w:r>
              <w:rPr>
                <w:rFonts w:ascii="Liberation Sans" w:hAnsi="Liberation Sans"/>
                <w:b w:val="0"/>
                <w:sz w:val="14"/>
              </w:rPr>
              <w:t>Notice / transparency</w:t>
            </w:r>
          </w:p>
        </w:tc>
        <w:tc>
          <w:tcPr>
            <w:tcW w:type="dxa" w:w="7880"/>
            <w:vAlign w:val="center"/>
          </w:tcPr>
          <w:p>
            <w:pPr>
              <w:spacing w:after="0" w:line="240" w:lineRule="auto"/>
            </w:pPr>
            <w:r/>
            <w:r>
              <w:rPr>
                <w:rFonts w:ascii="Liberation Sans" w:hAnsi="Liberation Sans"/>
                <w:b w:val="0"/>
                <w:sz w:val="14"/>
              </w:rPr>
              <w:t>Host supplies user-facing notice consistent with actual processing and jurisdictional requirements.</w:t>
            </w:r>
          </w:p>
        </w:tc>
      </w:tr>
      <w:tr>
        <w:trPr>
          <w:cantSplit/>
        </w:trPr>
        <w:tc>
          <w:tcPr>
            <w:tcW w:type="dxa" w:w="1928"/>
            <w:vAlign w:val="center"/>
          </w:tcPr>
          <w:p>
            <w:pPr>
              <w:spacing w:after="0" w:line="240" w:lineRule="auto"/>
            </w:pPr>
            <w:r/>
            <w:r>
              <w:rPr>
                <w:rFonts w:ascii="Liberation Sans" w:hAnsi="Liberation Sans"/>
                <w:b w:val="0"/>
                <w:sz w:val="14"/>
              </w:rPr>
              <w:t>Purpose limitation</w:t>
            </w:r>
          </w:p>
        </w:tc>
        <w:tc>
          <w:tcPr>
            <w:tcW w:type="dxa" w:w="7880"/>
            <w:vAlign w:val="center"/>
          </w:tcPr>
          <w:p>
            <w:pPr>
              <w:spacing w:after="0" w:line="240" w:lineRule="auto"/>
            </w:pPr>
            <w:r/>
            <w:r>
              <w:rPr>
                <w:rFonts w:ascii="Liberation Sans" w:hAnsi="Liberation Sans"/>
                <w:b w:val="0"/>
                <w:sz w:val="14"/>
              </w:rPr>
              <w:t>Fraud-prevention telemetry may not silently become marketing/personality profiling input.</w:t>
            </w:r>
          </w:p>
        </w:tc>
      </w:tr>
      <w:tr>
        <w:trPr>
          <w:cantSplit/>
        </w:trPr>
        <w:tc>
          <w:tcPr>
            <w:tcW w:type="dxa" w:w="1928"/>
            <w:vAlign w:val="center"/>
          </w:tcPr>
          <w:p>
            <w:pPr>
              <w:spacing w:after="0" w:line="240" w:lineRule="auto"/>
            </w:pPr>
            <w:r/>
            <w:r>
              <w:rPr>
                <w:rFonts w:ascii="Liberation Sans" w:hAnsi="Liberation Sans"/>
                <w:b w:val="0"/>
                <w:sz w:val="14"/>
              </w:rPr>
              <w:t>Security safeguards</w:t>
            </w:r>
          </w:p>
        </w:tc>
        <w:tc>
          <w:tcPr>
            <w:tcW w:type="dxa" w:w="7880"/>
            <w:vAlign w:val="center"/>
          </w:tcPr>
          <w:p>
            <w:pPr>
              <w:spacing w:after="0" w:line="240" w:lineRule="auto"/>
            </w:pPr>
            <w:r/>
            <w:r>
              <w:rPr>
                <w:rFonts w:ascii="Liberation Sans" w:hAnsi="Liberation Sans"/>
                <w:b w:val="0"/>
                <w:sz w:val="14"/>
              </w:rPr>
              <w:t>Encrypted transport, platform keystore, signed bundles/tokens, least-privilege services, role-based analyst access.</w:t>
            </w:r>
          </w:p>
        </w:tc>
      </w:tr>
      <w:tr>
        <w:trPr>
          <w:cantSplit/>
        </w:trPr>
        <w:tc>
          <w:tcPr>
            <w:tcW w:type="dxa" w:w="1928"/>
            <w:vAlign w:val="center"/>
          </w:tcPr>
          <w:p>
            <w:pPr>
              <w:spacing w:after="0" w:line="240" w:lineRule="auto"/>
            </w:pPr>
            <w:r/>
            <w:r>
              <w:rPr>
                <w:rFonts w:ascii="Liberation Sans" w:hAnsi="Liberation Sans"/>
                <w:b w:val="0"/>
                <w:sz w:val="14"/>
              </w:rPr>
              <w:t>Retention</w:t>
            </w:r>
          </w:p>
        </w:tc>
        <w:tc>
          <w:tcPr>
            <w:tcW w:type="dxa" w:w="7880"/>
            <w:vAlign w:val="center"/>
          </w:tcPr>
          <w:p>
            <w:pPr>
              <w:spacing w:after="0" w:line="240" w:lineRule="auto"/>
            </w:pPr>
            <w:r/>
            <w:r>
              <w:rPr>
                <w:rFonts w:ascii="Liberation Sans" w:hAnsi="Liberation Sans"/>
                <w:b w:val="0"/>
                <w:sz w:val="14"/>
              </w:rPr>
              <w:t>Raw/high-granularity events retained only for policy-defined minimum; aggregate model metrics may use longer de-identified retention.</w:t>
            </w:r>
          </w:p>
        </w:tc>
      </w:tr>
      <w:tr>
        <w:trPr>
          <w:cantSplit/>
        </w:trPr>
        <w:tc>
          <w:tcPr>
            <w:tcW w:type="dxa" w:w="1928"/>
            <w:vAlign w:val="center"/>
          </w:tcPr>
          <w:p>
            <w:pPr>
              <w:spacing w:after="0" w:line="240" w:lineRule="auto"/>
            </w:pPr>
            <w:r/>
            <w:r>
              <w:rPr>
                <w:rFonts w:ascii="Liberation Sans" w:hAnsi="Liberation Sans"/>
                <w:b w:val="0"/>
                <w:sz w:val="14"/>
              </w:rPr>
              <w:t>Rights / operations</w:t>
            </w:r>
          </w:p>
        </w:tc>
        <w:tc>
          <w:tcPr>
            <w:tcW w:type="dxa" w:w="7880"/>
            <w:vAlign w:val="center"/>
          </w:tcPr>
          <w:p>
            <w:pPr>
              <w:spacing w:after="0" w:line="240" w:lineRule="auto"/>
            </w:pPr>
            <w:r/>
            <w:r>
              <w:rPr>
                <w:rFonts w:ascii="Liberation Sans" w:hAnsi="Liberation Sans"/>
                <w:b w:val="0"/>
                <w:sz w:val="14"/>
              </w:rPr>
              <w:t>Expose host hooks for correction/deletion/access workflows where applicable; preserve legally required fraud/audit records under counsel-approved policy.</w:t>
            </w:r>
          </w:p>
        </w:tc>
      </w:tr>
      <w:tr>
        <w:trPr>
          <w:cantSplit/>
        </w:trPr>
        <w:tc>
          <w:tcPr>
            <w:tcW w:type="dxa" w:w="1928"/>
            <w:vAlign w:val="center"/>
          </w:tcPr>
          <w:p>
            <w:pPr>
              <w:spacing w:after="0" w:line="240" w:lineRule="auto"/>
            </w:pPr>
            <w:r/>
            <w:r>
              <w:rPr>
                <w:rFonts w:ascii="Liberation Sans" w:hAnsi="Liberation Sans"/>
                <w:b w:val="0"/>
                <w:sz w:val="14"/>
              </w:rPr>
              <w:t>Third parties</w:t>
            </w:r>
          </w:p>
        </w:tc>
        <w:tc>
          <w:tcPr>
            <w:tcW w:type="dxa" w:w="7880"/>
            <w:vAlign w:val="center"/>
          </w:tcPr>
          <w:p>
            <w:pPr>
              <w:spacing w:after="0" w:line="240" w:lineRule="auto"/>
            </w:pPr>
            <w:r/>
            <w:r>
              <w:rPr>
                <w:rFonts w:ascii="Liberation Sans" w:hAnsi="Liberation Sans"/>
                <w:b w:val="0"/>
                <w:sz w:val="14"/>
              </w:rPr>
              <w:t>Safety Circle and telecom/institution data integrations require explicit contracts and scoped disclosure.</w:t>
            </w:r>
          </w:p>
        </w:tc>
      </w:tr>
    </w:tbl>
    <w:p>
      <w:pPr>
        <w:pStyle w:val="Tiny"/>
      </w:pPr>
    </w:p>
    <w:p>
      <w:pPr>
        <w:pStyle w:val="Heading2"/>
      </w:pPr>
      <w:r>
        <w:t>Compliance language</w:t>
      </w:r>
    </w:p>
    <w:p>
      <w:r>
        <w:t>Marketing and jury material must say “designed for privacy-by-design and DPDP-aligned implementation,” not “100% compliant.” Compliance depends on the deploying institution’s role, legal basis, notices, contracts, security controls, retention and operational processes. The Rules notified in 2025 also reinforce implementation details beyond the 2023 Act. [EXT; Refs. 12–13]</w:t>
      </w:r>
    </w:p>
    <w:p>
      <w:r>
        <w:br w:type="page"/>
      </w:r>
    </w:p>
    <w:p>
      <w:pPr>
        <w:spacing w:after="0"/>
      </w:pPr>
      <w:r>
        <w:rPr>
          <w:b/>
          <w:sz w:val="15"/>
        </w:rPr>
        <w:t>SECURITY</w:t>
      </w:r>
    </w:p>
    <w:p>
      <w:pPr>
        <w:pStyle w:val="Heading1"/>
      </w:pPr>
      <w:r>
        <w:t>Abuse Cases, Adversarial ML and Defensive Controls</w:t>
      </w:r>
    </w:p>
    <w:tbl>
      <w:tblPr>
        <w:tblStyle w:val="TableGrid"/>
        <w:tblW w:type="auto" w:w="0"/>
        <w:jc w:val="center"/>
        <w:tblLook w:firstColumn="1" w:firstRow="1" w:lastColumn="0" w:lastRow="0" w:noHBand="0" w:noVBand="1" w:val="04A0"/>
      </w:tblPr>
      <w:tblGrid>
        <w:gridCol w:w="3459"/>
        <w:gridCol w:w="3459"/>
        <w:gridCol w:w="3459"/>
      </w:tblGrid>
      <w:tr>
        <w:trPr>
          <w:cantSplit/>
        </w:trPr>
        <w:tc>
          <w:tcPr>
            <w:tcW w:type="dxa" w:w="2268"/>
            <w:shd w:fill="E7E6E6"/>
            <w:vAlign w:val="center"/>
          </w:tcPr>
          <w:p>
            <w:pPr>
              <w:spacing w:after="0" w:line="240" w:lineRule="auto"/>
            </w:pPr>
            <w:r/>
            <w:r>
              <w:rPr>
                <w:rFonts w:ascii="Liberation Sans" w:hAnsi="Liberation Sans"/>
                <w:b/>
                <w:sz w:val="14"/>
              </w:rPr>
              <w:t>Attack / failure</w:t>
            </w:r>
          </w:p>
        </w:tc>
        <w:tc>
          <w:tcPr>
            <w:tcW w:type="dxa" w:w="2835"/>
            <w:shd w:fill="E7E6E6"/>
            <w:vAlign w:val="center"/>
          </w:tcPr>
          <w:p>
            <w:pPr>
              <w:spacing w:after="0" w:line="240" w:lineRule="auto"/>
            </w:pPr>
            <w:r/>
            <w:r>
              <w:rPr>
                <w:rFonts w:ascii="Liberation Sans" w:hAnsi="Liberation Sans"/>
                <w:b/>
                <w:sz w:val="14"/>
              </w:rPr>
              <w:t>Impact</w:t>
            </w:r>
          </w:p>
        </w:tc>
        <w:tc>
          <w:tcPr>
            <w:tcW w:type="dxa" w:w="4706"/>
            <w:shd w:fill="E7E6E6"/>
            <w:vAlign w:val="center"/>
          </w:tcPr>
          <w:p>
            <w:pPr>
              <w:spacing w:after="0" w:line="240" w:lineRule="auto"/>
            </w:pPr>
            <w:r/>
            <w:r>
              <w:rPr>
                <w:rFonts w:ascii="Liberation Sans" w:hAnsi="Liberation Sans"/>
                <w:b/>
                <w:sz w:val="14"/>
              </w:rPr>
              <w:t>Control</w:t>
            </w:r>
          </w:p>
        </w:tc>
      </w:tr>
      <w:tr>
        <w:trPr>
          <w:cantSplit/>
        </w:trPr>
        <w:tc>
          <w:tcPr>
            <w:tcW w:type="dxa" w:w="2268"/>
            <w:vAlign w:val="center"/>
          </w:tcPr>
          <w:p>
            <w:pPr>
              <w:spacing w:after="0" w:line="240" w:lineRule="auto"/>
            </w:pPr>
            <w:r/>
            <w:r>
              <w:rPr>
                <w:rFonts w:ascii="Liberation Sans" w:hAnsi="Liberation Sans"/>
                <w:b w:val="0"/>
                <w:sz w:val="14"/>
              </w:rPr>
              <w:t>Scammer coaches user to dismiss warning</w:t>
            </w:r>
          </w:p>
        </w:tc>
        <w:tc>
          <w:tcPr>
            <w:tcW w:type="dxa" w:w="2835"/>
            <w:vAlign w:val="center"/>
          </w:tcPr>
          <w:p>
            <w:pPr>
              <w:spacing w:after="0" w:line="240" w:lineRule="auto"/>
            </w:pPr>
            <w:r/>
            <w:r>
              <w:rPr>
                <w:rFonts w:ascii="Liberation Sans" w:hAnsi="Liberation Sans"/>
                <w:b w:val="0"/>
                <w:sz w:val="14"/>
              </w:rPr>
              <w:t>Direct yes/no question fails.</w:t>
            </w:r>
          </w:p>
        </w:tc>
        <w:tc>
          <w:tcPr>
            <w:tcW w:type="dxa" w:w="4706"/>
            <w:vAlign w:val="center"/>
          </w:tcPr>
          <w:p>
            <w:pPr>
              <w:spacing w:after="0" w:line="240" w:lineRule="auto"/>
            </w:pPr>
            <w:r/>
            <w:r>
              <w:rPr>
                <w:rFonts w:ascii="Liberation Sans" w:hAnsi="Liberation Sans"/>
                <w:b w:val="0"/>
                <w:sz w:val="14"/>
              </w:rPr>
              <w:t>Use sequence evidence, randomized policy-approved copy variants, isolation break and independent verification.</w:t>
            </w:r>
          </w:p>
        </w:tc>
      </w:tr>
      <w:tr>
        <w:trPr>
          <w:cantSplit/>
        </w:trPr>
        <w:tc>
          <w:tcPr>
            <w:tcW w:type="dxa" w:w="2268"/>
            <w:vAlign w:val="center"/>
          </w:tcPr>
          <w:p>
            <w:pPr>
              <w:spacing w:after="0" w:line="240" w:lineRule="auto"/>
            </w:pPr>
            <w:r/>
            <w:r>
              <w:rPr>
                <w:rFonts w:ascii="Liberation Sans" w:hAnsi="Liberation Sans"/>
                <w:b w:val="0"/>
                <w:sz w:val="14"/>
              </w:rPr>
              <w:t>Replay of old safe graph token</w:t>
            </w:r>
          </w:p>
        </w:tc>
        <w:tc>
          <w:tcPr>
            <w:tcW w:type="dxa" w:w="2835"/>
            <w:vAlign w:val="center"/>
          </w:tcPr>
          <w:p>
            <w:pPr>
              <w:spacing w:after="0" w:line="240" w:lineRule="auto"/>
            </w:pPr>
            <w:r/>
            <w:r>
              <w:rPr>
                <w:rFonts w:ascii="Liberation Sans" w:hAnsi="Liberation Sans"/>
                <w:b w:val="0"/>
                <w:sz w:val="14"/>
              </w:rPr>
              <w:t>High-risk beneficiary appears safe.</w:t>
            </w:r>
          </w:p>
        </w:tc>
        <w:tc>
          <w:tcPr>
            <w:tcW w:type="dxa" w:w="4706"/>
            <w:vAlign w:val="center"/>
          </w:tcPr>
          <w:p>
            <w:pPr>
              <w:spacing w:after="0" w:line="240" w:lineRule="auto"/>
            </w:pPr>
            <w:r/>
            <w:r>
              <w:rPr>
                <w:rFonts w:ascii="Liberation Sans" w:hAnsi="Liberation Sans"/>
                <w:b w:val="0"/>
                <w:sz w:val="14"/>
              </w:rPr>
              <w:t>Nonce + beneficiary binding + short TTL + issuer signature.</w:t>
            </w:r>
          </w:p>
        </w:tc>
      </w:tr>
      <w:tr>
        <w:trPr>
          <w:cantSplit/>
        </w:trPr>
        <w:tc>
          <w:tcPr>
            <w:tcW w:type="dxa" w:w="2268"/>
            <w:vAlign w:val="center"/>
          </w:tcPr>
          <w:p>
            <w:pPr>
              <w:spacing w:after="0" w:line="240" w:lineRule="auto"/>
            </w:pPr>
            <w:r/>
            <w:r>
              <w:rPr>
                <w:rFonts w:ascii="Liberation Sans" w:hAnsi="Liberation Sans"/>
                <w:b w:val="0"/>
                <w:sz w:val="14"/>
              </w:rPr>
              <w:t>Model/config tampering</w:t>
            </w:r>
          </w:p>
        </w:tc>
        <w:tc>
          <w:tcPr>
            <w:tcW w:type="dxa" w:w="2835"/>
            <w:vAlign w:val="center"/>
          </w:tcPr>
          <w:p>
            <w:pPr>
              <w:spacing w:after="0" w:line="240" w:lineRule="auto"/>
            </w:pPr>
            <w:r/>
            <w:r>
              <w:rPr>
                <w:rFonts w:ascii="Liberation Sans" w:hAnsi="Liberation Sans"/>
                <w:b w:val="0"/>
                <w:sz w:val="14"/>
              </w:rPr>
              <w:t>Risk lowered locally.</w:t>
            </w:r>
          </w:p>
        </w:tc>
        <w:tc>
          <w:tcPr>
            <w:tcW w:type="dxa" w:w="4706"/>
            <w:vAlign w:val="center"/>
          </w:tcPr>
          <w:p>
            <w:pPr>
              <w:spacing w:after="0" w:line="240" w:lineRule="auto"/>
            </w:pPr>
            <w:r/>
            <w:r>
              <w:rPr>
                <w:rFonts w:ascii="Liberation Sans" w:hAnsi="Liberation Sans"/>
                <w:b w:val="0"/>
                <w:sz w:val="14"/>
              </w:rPr>
              <w:t>Signed bundle, hash verification, Play integrity/app recognition, rollback protection.</w:t>
            </w:r>
          </w:p>
        </w:tc>
      </w:tr>
      <w:tr>
        <w:trPr>
          <w:cantSplit/>
        </w:trPr>
        <w:tc>
          <w:tcPr>
            <w:tcW w:type="dxa" w:w="2268"/>
            <w:vAlign w:val="center"/>
          </w:tcPr>
          <w:p>
            <w:pPr>
              <w:spacing w:after="0" w:line="240" w:lineRule="auto"/>
            </w:pPr>
            <w:r/>
            <w:r>
              <w:rPr>
                <w:rFonts w:ascii="Liberation Sans" w:hAnsi="Liberation Sans"/>
                <w:b w:val="0"/>
                <w:sz w:val="14"/>
              </w:rPr>
              <w:t>Adversarial graph camouflage</w:t>
            </w:r>
          </w:p>
        </w:tc>
        <w:tc>
          <w:tcPr>
            <w:tcW w:type="dxa" w:w="2835"/>
            <w:vAlign w:val="center"/>
          </w:tcPr>
          <w:p>
            <w:pPr>
              <w:spacing w:after="0" w:line="240" w:lineRule="auto"/>
            </w:pPr>
            <w:r/>
            <w:r>
              <w:rPr>
                <w:rFonts w:ascii="Liberation Sans" w:hAnsi="Liberation Sans"/>
                <w:b w:val="0"/>
                <w:sz w:val="14"/>
              </w:rPr>
              <w:t>Mule ring embeds in benign neighborhood.</w:t>
            </w:r>
          </w:p>
        </w:tc>
        <w:tc>
          <w:tcPr>
            <w:tcW w:type="dxa" w:w="4706"/>
            <w:vAlign w:val="center"/>
          </w:tcPr>
          <w:p>
            <w:pPr>
              <w:spacing w:after="0" w:line="240" w:lineRule="auto"/>
            </w:pPr>
            <w:r/>
            <w:r>
              <w:rPr>
                <w:rFonts w:ascii="Liberation Sans" w:hAnsi="Liberation Sans"/>
                <w:b w:val="0"/>
                <w:sz w:val="14"/>
              </w:rPr>
              <w:t>Relation-aware temporal model, robustness tests, motif features, CARE-GNN-inspired neighbor selection research.</w:t>
            </w:r>
          </w:p>
        </w:tc>
      </w:tr>
      <w:tr>
        <w:trPr>
          <w:cantSplit/>
        </w:trPr>
        <w:tc>
          <w:tcPr>
            <w:tcW w:type="dxa" w:w="2268"/>
            <w:vAlign w:val="center"/>
          </w:tcPr>
          <w:p>
            <w:pPr>
              <w:spacing w:after="0" w:line="240" w:lineRule="auto"/>
            </w:pPr>
            <w:r/>
            <w:r>
              <w:rPr>
                <w:rFonts w:ascii="Liberation Sans" w:hAnsi="Liberation Sans"/>
                <w:b w:val="0"/>
                <w:sz w:val="14"/>
              </w:rPr>
              <w:t>Graph poisoning / bad labels</w:t>
            </w:r>
          </w:p>
        </w:tc>
        <w:tc>
          <w:tcPr>
            <w:tcW w:type="dxa" w:w="2835"/>
            <w:vAlign w:val="center"/>
          </w:tcPr>
          <w:p>
            <w:pPr>
              <w:spacing w:after="0" w:line="240" w:lineRule="auto"/>
            </w:pPr>
            <w:r/>
            <w:r>
              <w:rPr>
                <w:rFonts w:ascii="Liberation Sans" w:hAnsi="Liberation Sans"/>
                <w:b w:val="0"/>
                <w:sz w:val="14"/>
              </w:rPr>
              <w:t>System learns wrong topology.</w:t>
            </w:r>
          </w:p>
        </w:tc>
        <w:tc>
          <w:tcPr>
            <w:tcW w:type="dxa" w:w="4706"/>
            <w:vAlign w:val="center"/>
          </w:tcPr>
          <w:p>
            <w:pPr>
              <w:spacing w:after="0" w:line="240" w:lineRule="auto"/>
            </w:pPr>
            <w:r/>
            <w:r>
              <w:rPr>
                <w:rFonts w:ascii="Liberation Sans" w:hAnsi="Liberation Sans"/>
                <w:b w:val="0"/>
                <w:sz w:val="14"/>
              </w:rPr>
              <w:t>Provenance, delayed-label states, analyst approval, outlier monitors, retraining gates.</w:t>
            </w:r>
          </w:p>
        </w:tc>
      </w:tr>
      <w:tr>
        <w:trPr>
          <w:cantSplit/>
        </w:trPr>
        <w:tc>
          <w:tcPr>
            <w:tcW w:type="dxa" w:w="2268"/>
            <w:vAlign w:val="center"/>
          </w:tcPr>
          <w:p>
            <w:pPr>
              <w:spacing w:after="0" w:line="240" w:lineRule="auto"/>
            </w:pPr>
            <w:r/>
            <w:r>
              <w:rPr>
                <w:rFonts w:ascii="Liberation Sans" w:hAnsi="Liberation Sans"/>
                <w:b w:val="0"/>
                <w:sz w:val="14"/>
              </w:rPr>
              <w:t>DoS / graph timeout</w:t>
            </w:r>
          </w:p>
        </w:tc>
        <w:tc>
          <w:tcPr>
            <w:tcW w:type="dxa" w:w="2835"/>
            <w:vAlign w:val="center"/>
          </w:tcPr>
          <w:p>
            <w:pPr>
              <w:spacing w:after="0" w:line="240" w:lineRule="auto"/>
            </w:pPr>
            <w:r/>
            <w:r>
              <w:rPr>
                <w:rFonts w:ascii="Liberation Sans" w:hAnsi="Liberation Sans"/>
                <w:b w:val="0"/>
                <w:sz w:val="14"/>
              </w:rPr>
              <w:t>Risk service unavailable.</w:t>
            </w:r>
          </w:p>
        </w:tc>
        <w:tc>
          <w:tcPr>
            <w:tcW w:type="dxa" w:w="4706"/>
            <w:vAlign w:val="center"/>
          </w:tcPr>
          <w:p>
            <w:pPr>
              <w:spacing w:after="0" w:line="240" w:lineRule="auto"/>
            </w:pPr>
            <w:r/>
            <w:r>
              <w:rPr>
                <w:rFonts w:ascii="Liberation Sans" w:hAnsi="Liberation Sans"/>
                <w:b w:val="0"/>
                <w:sz w:val="14"/>
              </w:rPr>
              <w:t>Offline-first local policy; explicit missing mask; bounded timeouts.</w:t>
            </w:r>
          </w:p>
        </w:tc>
      </w:tr>
      <w:tr>
        <w:trPr>
          <w:cantSplit/>
        </w:trPr>
        <w:tc>
          <w:tcPr>
            <w:tcW w:type="dxa" w:w="2268"/>
            <w:vAlign w:val="center"/>
          </w:tcPr>
          <w:p>
            <w:pPr>
              <w:spacing w:after="0" w:line="240" w:lineRule="auto"/>
            </w:pPr>
            <w:r/>
            <w:r>
              <w:rPr>
                <w:rFonts w:ascii="Liberation Sans" w:hAnsi="Liberation Sans"/>
                <w:b w:val="0"/>
                <w:sz w:val="14"/>
              </w:rPr>
              <w:t>Accessibility false positive</w:t>
            </w:r>
          </w:p>
        </w:tc>
        <w:tc>
          <w:tcPr>
            <w:tcW w:type="dxa" w:w="2835"/>
            <w:vAlign w:val="center"/>
          </w:tcPr>
          <w:p>
            <w:pPr>
              <w:spacing w:after="0" w:line="240" w:lineRule="auto"/>
            </w:pPr>
            <w:r/>
            <w:r>
              <w:rPr>
                <w:rFonts w:ascii="Liberation Sans" w:hAnsi="Liberation Sans"/>
                <w:b w:val="0"/>
                <w:sz w:val="14"/>
              </w:rPr>
              <w:t>Legitimate assistive tech blocked.</w:t>
            </w:r>
          </w:p>
        </w:tc>
        <w:tc>
          <w:tcPr>
            <w:tcW w:type="dxa" w:w="4706"/>
            <w:vAlign w:val="center"/>
          </w:tcPr>
          <w:p>
            <w:pPr>
              <w:spacing w:after="0" w:line="240" w:lineRule="auto"/>
            </w:pPr>
            <w:r/>
            <w:r>
              <w:rPr>
                <w:rFonts w:ascii="Liberation Sans" w:hAnsi="Liberation Sans"/>
                <w:b w:val="0"/>
                <w:sz w:val="14"/>
              </w:rPr>
              <w:t>Use platform verdict semantics; verified accessibility services excluded by Play Integrity; accessibility regression tests.</w:t>
            </w:r>
          </w:p>
        </w:tc>
      </w:tr>
      <w:tr>
        <w:trPr>
          <w:cantSplit/>
        </w:trPr>
        <w:tc>
          <w:tcPr>
            <w:tcW w:type="dxa" w:w="2268"/>
            <w:vAlign w:val="center"/>
          </w:tcPr>
          <w:p>
            <w:pPr>
              <w:spacing w:after="0" w:line="240" w:lineRule="auto"/>
            </w:pPr>
            <w:r/>
            <w:r>
              <w:rPr>
                <w:rFonts w:ascii="Liberation Sans" w:hAnsi="Liberation Sans"/>
                <w:b w:val="0"/>
                <w:sz w:val="14"/>
              </w:rPr>
              <w:t>Safety Circle abuse</w:t>
            </w:r>
          </w:p>
        </w:tc>
        <w:tc>
          <w:tcPr>
            <w:tcW w:type="dxa" w:w="2835"/>
            <w:vAlign w:val="center"/>
          </w:tcPr>
          <w:p>
            <w:pPr>
              <w:spacing w:after="0" w:line="240" w:lineRule="auto"/>
            </w:pPr>
            <w:r/>
            <w:r>
              <w:rPr>
                <w:rFonts w:ascii="Liberation Sans" w:hAnsi="Liberation Sans"/>
                <w:b w:val="0"/>
                <w:sz w:val="14"/>
              </w:rPr>
              <w:t>Sensitive disclosure / harassment.</w:t>
            </w:r>
          </w:p>
        </w:tc>
        <w:tc>
          <w:tcPr>
            <w:tcW w:type="dxa" w:w="4706"/>
            <w:vAlign w:val="center"/>
          </w:tcPr>
          <w:p>
            <w:pPr>
              <w:spacing w:after="0" w:line="240" w:lineRule="auto"/>
            </w:pPr>
            <w:r/>
            <w:r>
              <w:rPr>
                <w:rFonts w:ascii="Liberation Sans" w:hAnsi="Liberation Sans"/>
                <w:b w:val="0"/>
                <w:sz w:val="14"/>
              </w:rPr>
              <w:t>Opt-in verification, minimal content, rate limits, revoke/reset.</w:t>
            </w:r>
          </w:p>
        </w:tc>
      </w:tr>
      <w:tr>
        <w:trPr>
          <w:cantSplit/>
        </w:trPr>
        <w:tc>
          <w:tcPr>
            <w:tcW w:type="dxa" w:w="2268"/>
            <w:vAlign w:val="center"/>
          </w:tcPr>
          <w:p>
            <w:pPr>
              <w:spacing w:after="0" w:line="240" w:lineRule="auto"/>
            </w:pPr>
            <w:r/>
            <w:r>
              <w:rPr>
                <w:rFonts w:ascii="Liberation Sans" w:hAnsi="Liberation Sans"/>
                <w:b w:val="0"/>
                <w:sz w:val="14"/>
              </w:rPr>
              <w:t>Insider analyst misuse</w:t>
            </w:r>
          </w:p>
        </w:tc>
        <w:tc>
          <w:tcPr>
            <w:tcW w:type="dxa" w:w="2835"/>
            <w:vAlign w:val="center"/>
          </w:tcPr>
          <w:p>
            <w:pPr>
              <w:spacing w:after="0" w:line="240" w:lineRule="auto"/>
            </w:pPr>
            <w:r/>
            <w:r>
              <w:rPr>
                <w:rFonts w:ascii="Liberation Sans" w:hAnsi="Liberation Sans"/>
                <w:b w:val="0"/>
                <w:sz w:val="14"/>
              </w:rPr>
              <w:t>Privacy breach.</w:t>
            </w:r>
          </w:p>
        </w:tc>
        <w:tc>
          <w:tcPr>
            <w:tcW w:type="dxa" w:w="4706"/>
            <w:vAlign w:val="center"/>
          </w:tcPr>
          <w:p>
            <w:pPr>
              <w:spacing w:after="0" w:line="240" w:lineRule="auto"/>
            </w:pPr>
            <w:r/>
            <w:r>
              <w:rPr>
                <w:rFonts w:ascii="Liberation Sans" w:hAnsi="Liberation Sans"/>
                <w:b w:val="0"/>
                <w:sz w:val="14"/>
              </w:rPr>
              <w:t>RBAC, immutable audit, pseudonymisation, purpose-bound dashboards.</w:t>
            </w:r>
          </w:p>
        </w:tc>
      </w:tr>
    </w:tbl>
    <w:p>
      <w:pPr>
        <w:pStyle w:val="Tiny"/>
      </w:pPr>
    </w:p>
    <w:p>
      <w:pPr>
        <w:pStyle w:val="Heading2"/>
      </w:pPr>
      <w:r>
        <w:t>Adversarial ML test suite</w:t>
      </w:r>
    </w:p>
    <w:p>
      <w:pPr>
        <w:ind w:left="215" w:hanging="125"/>
      </w:pPr>
      <w:r>
        <w:rPr>
          <w:b/>
        </w:rPr>
        <w:t xml:space="preserve">• </w:t>
      </w:r>
      <w:r>
        <w:t>Feature suppression: remove one signal family and verify graceful degradation.</w:t>
      </w:r>
    </w:p>
    <w:p>
      <w:pPr>
        <w:ind w:left="215" w:hanging="125"/>
      </w:pPr>
      <w:r>
        <w:rPr>
          <w:b/>
        </w:rPr>
        <w:t xml:space="preserve">• </w:t>
      </w:r>
      <w:r>
        <w:t>Feature contradiction: graph high / local low and graph low / local high.</w:t>
      </w:r>
    </w:p>
    <w:p>
      <w:pPr>
        <w:ind w:left="215" w:hanging="125"/>
      </w:pPr>
      <w:r>
        <w:rPr>
          <w:b/>
        </w:rPr>
        <w:t xml:space="preserve">• </w:t>
      </w:r>
      <w:r>
        <w:t>Temporal perturbation: reorder benign events; delay/coalesce scam events.</w:t>
      </w:r>
    </w:p>
    <w:p>
      <w:pPr>
        <w:ind w:left="215" w:hanging="125"/>
      </w:pPr>
      <w:r>
        <w:rPr>
          <w:b/>
        </w:rPr>
        <w:t xml:space="preserve">• </w:t>
      </w:r>
      <w:r>
        <w:t>Camouflage: add benign graph neighbors and spread fan-out across accounts.</w:t>
      </w:r>
    </w:p>
    <w:p>
      <w:pPr>
        <w:ind w:left="215" w:hanging="125"/>
      </w:pPr>
      <w:r>
        <w:rPr>
          <w:b/>
        </w:rPr>
        <w:t xml:space="preserve">• </w:t>
      </w:r>
      <w:r>
        <w:t>Threshold probing: repeated borderline sessions should not reveal exact policy cutoffs.</w:t>
      </w:r>
    </w:p>
    <w:p>
      <w:pPr>
        <w:ind w:left="215" w:hanging="125"/>
      </w:pPr>
      <w:r>
        <w:rPr>
          <w:b/>
        </w:rPr>
        <w:t xml:space="preserve">• </w:t>
      </w:r>
      <w:r>
        <w:t>Model extraction resistance: SDK exposes reason codes, not raw logits for every internal expert to untrusted callers.</w:t>
      </w:r>
    </w:p>
    <w:p>
      <w:r>
        <w:br w:type="page"/>
      </w:r>
    </w:p>
    <w:p>
      <w:pPr>
        <w:spacing w:after="0"/>
      </w:pPr>
      <w:r>
        <w:rPr>
          <w:b/>
          <w:sz w:val="15"/>
        </w:rPr>
        <w:t>ML LIFECYCLE</w:t>
      </w:r>
    </w:p>
    <w:p>
      <w:pPr>
        <w:pStyle w:val="Heading1"/>
      </w:pPr>
      <w:r>
        <w:t>Datasets, Training, Versioning and Research Protocol</w:t>
      </w:r>
    </w:p>
    <w:p>
      <w:r>
        <w:t>A technically ambitious architecture becomes credible only when data provenance and evaluation are explicit. The hackathon prototype can use synthetic graph and interaction data, but every demo must label synthetic evidence as synthetic. Production efficacy claims require institution-approved historical/pilot data.</w:t>
      </w:r>
    </w:p>
    <w:tbl>
      <w:tblPr>
        <w:tblStyle w:val="TableGrid"/>
        <w:tblW w:type="auto" w:w="0"/>
        <w:jc w:val="center"/>
        <w:tblLook w:firstColumn="1" w:firstRow="1" w:lastColumn="0" w:lastRow="0" w:noHBand="0" w:noVBand="1" w:val="04A0"/>
      </w:tblPr>
      <w:tblGrid>
        <w:gridCol w:w="3459"/>
        <w:gridCol w:w="3459"/>
        <w:gridCol w:w="3459"/>
      </w:tblGrid>
      <w:tr>
        <w:trPr>
          <w:cantSplit/>
        </w:trPr>
        <w:tc>
          <w:tcPr>
            <w:tcW w:type="dxa" w:w="2381"/>
            <w:shd w:fill="E7E6E6"/>
            <w:vAlign w:val="center"/>
          </w:tcPr>
          <w:p>
            <w:pPr>
              <w:spacing w:after="0" w:line="240" w:lineRule="auto"/>
            </w:pPr>
            <w:r/>
            <w:r>
              <w:rPr>
                <w:rFonts w:ascii="Liberation Sans" w:hAnsi="Liberation Sans"/>
                <w:b/>
                <w:sz w:val="14"/>
              </w:rPr>
              <w:t>Dataset</w:t>
            </w:r>
          </w:p>
        </w:tc>
        <w:tc>
          <w:tcPr>
            <w:tcW w:type="dxa" w:w="3458"/>
            <w:shd w:fill="E7E6E6"/>
            <w:vAlign w:val="center"/>
          </w:tcPr>
          <w:p>
            <w:pPr>
              <w:spacing w:after="0" w:line="240" w:lineRule="auto"/>
            </w:pPr>
            <w:r/>
            <w:r>
              <w:rPr>
                <w:rFonts w:ascii="Liberation Sans" w:hAnsi="Liberation Sans"/>
                <w:b/>
                <w:sz w:val="14"/>
              </w:rPr>
              <w:t>Purpose</w:t>
            </w:r>
          </w:p>
        </w:tc>
        <w:tc>
          <w:tcPr>
            <w:tcW w:type="dxa" w:w="3969"/>
            <w:shd w:fill="E7E6E6"/>
            <w:vAlign w:val="center"/>
          </w:tcPr>
          <w:p>
            <w:pPr>
              <w:spacing w:after="0" w:line="240" w:lineRule="auto"/>
            </w:pPr>
            <w:r/>
            <w:r>
              <w:rPr>
                <w:rFonts w:ascii="Liberation Sans" w:hAnsi="Liberation Sans"/>
                <w:b/>
                <w:sz w:val="14"/>
              </w:rPr>
              <w:t>Leakage / ethics control</w:t>
            </w:r>
          </w:p>
        </w:tc>
      </w:tr>
      <w:tr>
        <w:trPr>
          <w:cantSplit/>
        </w:trPr>
        <w:tc>
          <w:tcPr>
            <w:tcW w:type="dxa" w:w="2381"/>
            <w:vAlign w:val="center"/>
          </w:tcPr>
          <w:p>
            <w:pPr>
              <w:spacing w:after="0" w:line="240" w:lineRule="auto"/>
            </w:pPr>
            <w:r/>
            <w:r>
              <w:rPr>
                <w:rFonts w:ascii="Liberation Sans" w:hAnsi="Liberation Sans"/>
                <w:b w:val="0"/>
                <w:sz w:val="14"/>
              </w:rPr>
              <w:t>Synthetic coercion trajectories</w:t>
            </w:r>
          </w:p>
        </w:tc>
        <w:tc>
          <w:tcPr>
            <w:tcW w:type="dxa" w:w="3458"/>
            <w:vAlign w:val="center"/>
          </w:tcPr>
          <w:p>
            <w:pPr>
              <w:spacing w:after="0" w:line="240" w:lineRule="auto"/>
            </w:pPr>
            <w:r/>
            <w:r>
              <w:rPr>
                <w:rFonts w:ascii="Liberation Sans" w:hAnsi="Liberation Sans"/>
                <w:b w:val="0"/>
                <w:sz w:val="14"/>
              </w:rPr>
              <w:t>Train/test local sequence + policy simulation.</w:t>
            </w:r>
          </w:p>
        </w:tc>
        <w:tc>
          <w:tcPr>
            <w:tcW w:type="dxa" w:w="3969"/>
            <w:vAlign w:val="center"/>
          </w:tcPr>
          <w:p>
            <w:pPr>
              <w:spacing w:after="0" w:line="240" w:lineRule="auto"/>
            </w:pPr>
            <w:r/>
            <w:r>
              <w:rPr>
                <w:rFonts w:ascii="Liberation Sans" w:hAnsi="Liberation Sans"/>
                <w:b w:val="0"/>
                <w:sz w:val="14"/>
              </w:rPr>
              <w:t>Separate prompt/scenario families across train/test; do not call synthetic accuracy “real-world fraud recall.”</w:t>
            </w:r>
          </w:p>
        </w:tc>
      </w:tr>
      <w:tr>
        <w:trPr>
          <w:cantSplit/>
        </w:trPr>
        <w:tc>
          <w:tcPr>
            <w:tcW w:type="dxa" w:w="2381"/>
            <w:vAlign w:val="center"/>
          </w:tcPr>
          <w:p>
            <w:pPr>
              <w:spacing w:after="0" w:line="240" w:lineRule="auto"/>
            </w:pPr>
            <w:r/>
            <w:r>
              <w:rPr>
                <w:rFonts w:ascii="Liberation Sans" w:hAnsi="Liberation Sans"/>
                <w:b w:val="0"/>
                <w:sz w:val="14"/>
              </w:rPr>
              <w:t>Synthetic temporal mule graph</w:t>
            </w:r>
          </w:p>
        </w:tc>
        <w:tc>
          <w:tcPr>
            <w:tcW w:type="dxa" w:w="3458"/>
            <w:vAlign w:val="center"/>
          </w:tcPr>
          <w:p>
            <w:pPr>
              <w:spacing w:after="0" w:line="240" w:lineRule="auto"/>
            </w:pPr>
            <w:r/>
            <w:r>
              <w:rPr>
                <w:rFonts w:ascii="Liberation Sans" w:hAnsi="Liberation Sans"/>
                <w:b w:val="0"/>
                <w:sz w:val="14"/>
              </w:rPr>
              <w:t>Demonstrate hetero ST-GNN and topology behaviour.</w:t>
            </w:r>
          </w:p>
        </w:tc>
        <w:tc>
          <w:tcPr>
            <w:tcW w:type="dxa" w:w="3969"/>
            <w:vAlign w:val="center"/>
          </w:tcPr>
          <w:p>
            <w:pPr>
              <w:spacing w:after="0" w:line="240" w:lineRule="auto"/>
            </w:pPr>
            <w:r/>
            <w:r>
              <w:rPr>
                <w:rFonts w:ascii="Liberation Sans" w:hAnsi="Liberation Sans"/>
                <w:b w:val="0"/>
                <w:sz w:val="14"/>
              </w:rPr>
              <w:t>Generate time-respecting account/VPA/device relations; hold out entire rings/new nodes.</w:t>
            </w:r>
          </w:p>
        </w:tc>
      </w:tr>
      <w:tr>
        <w:trPr>
          <w:cantSplit/>
        </w:trPr>
        <w:tc>
          <w:tcPr>
            <w:tcW w:type="dxa" w:w="2381"/>
            <w:vAlign w:val="center"/>
          </w:tcPr>
          <w:p>
            <w:pPr>
              <w:spacing w:after="0" w:line="240" w:lineRule="auto"/>
            </w:pPr>
            <w:r/>
            <w:r>
              <w:rPr>
                <w:rFonts w:ascii="Liberation Sans" w:hAnsi="Liberation Sans"/>
                <w:b w:val="0"/>
                <w:sz w:val="14"/>
              </w:rPr>
              <w:t>Public graph-fraud datasets (optional)</w:t>
            </w:r>
          </w:p>
        </w:tc>
        <w:tc>
          <w:tcPr>
            <w:tcW w:type="dxa" w:w="3458"/>
            <w:vAlign w:val="center"/>
          </w:tcPr>
          <w:p>
            <w:pPr>
              <w:spacing w:after="0" w:line="240" w:lineRule="auto"/>
            </w:pPr>
            <w:r/>
            <w:r>
              <w:rPr>
                <w:rFonts w:ascii="Liberation Sans" w:hAnsi="Liberation Sans"/>
                <w:b w:val="0"/>
                <w:sz w:val="14"/>
              </w:rPr>
              <w:t>Architecture sanity-check.</w:t>
            </w:r>
          </w:p>
        </w:tc>
        <w:tc>
          <w:tcPr>
            <w:tcW w:type="dxa" w:w="3969"/>
            <w:vAlign w:val="center"/>
          </w:tcPr>
          <w:p>
            <w:pPr>
              <w:spacing w:after="0" w:line="240" w:lineRule="auto"/>
            </w:pPr>
            <w:r/>
            <w:r>
              <w:rPr>
                <w:rFonts w:ascii="Liberation Sans" w:hAnsi="Liberation Sans"/>
                <w:b w:val="0"/>
                <w:sz w:val="14"/>
              </w:rPr>
              <w:t>Document domain mismatch to Indian UPI; no misleading transfer claim.</w:t>
            </w:r>
          </w:p>
        </w:tc>
      </w:tr>
      <w:tr>
        <w:trPr>
          <w:cantSplit/>
        </w:trPr>
        <w:tc>
          <w:tcPr>
            <w:tcW w:type="dxa" w:w="2381"/>
            <w:vAlign w:val="center"/>
          </w:tcPr>
          <w:p>
            <w:pPr>
              <w:spacing w:after="0" w:line="240" w:lineRule="auto"/>
            </w:pPr>
            <w:r/>
            <w:r>
              <w:rPr>
                <w:rFonts w:ascii="Liberation Sans" w:hAnsi="Liberation Sans"/>
                <w:b w:val="0"/>
                <w:sz w:val="14"/>
              </w:rPr>
              <w:t>Institution outcomes (future)</w:t>
            </w:r>
          </w:p>
        </w:tc>
        <w:tc>
          <w:tcPr>
            <w:tcW w:type="dxa" w:w="3458"/>
            <w:vAlign w:val="center"/>
          </w:tcPr>
          <w:p>
            <w:pPr>
              <w:spacing w:after="0" w:line="240" w:lineRule="auto"/>
            </w:pPr>
            <w:r/>
            <w:r>
              <w:rPr>
                <w:rFonts w:ascii="Liberation Sans" w:hAnsi="Liberation Sans"/>
                <w:b w:val="0"/>
                <w:sz w:val="14"/>
              </w:rPr>
              <w:t>Calibration and production evaluation.</w:t>
            </w:r>
          </w:p>
        </w:tc>
        <w:tc>
          <w:tcPr>
            <w:tcW w:type="dxa" w:w="3969"/>
            <w:vAlign w:val="center"/>
          </w:tcPr>
          <w:p>
            <w:pPr>
              <w:spacing w:after="0" w:line="240" w:lineRule="auto"/>
            </w:pPr>
            <w:r/>
            <w:r>
              <w:rPr>
                <w:rFonts w:ascii="Liberation Sans" w:hAnsi="Liberation Sans"/>
                <w:b w:val="0"/>
                <w:sz w:val="14"/>
              </w:rPr>
              <w:t>Governance approval, label delay handling, train/test chronological split, privacy controls.</w:t>
            </w:r>
          </w:p>
        </w:tc>
      </w:tr>
    </w:tbl>
    <w:p>
      <w:pPr>
        <w:pStyle w:val="Tiny"/>
      </w:pPr>
    </w:p>
    <w:p>
      <w:pPr>
        <w:pStyle w:val="Heading2"/>
      </w:pPr>
      <w:r>
        <w:t>Training pipeline</w:t>
      </w:r>
    </w:p>
    <w:p>
      <w:pPr>
        <w:ind w:left="227" w:hanging="170"/>
      </w:pPr>
      <w:r>
        <w:rPr>
          <w:b/>
        </w:rPr>
        <w:t xml:space="preserve">1. </w:t>
      </w:r>
      <w:r>
        <w:t>Freeze schema and label definition; generate/extract time-versioned dataset.</w:t>
      </w:r>
    </w:p>
    <w:p>
      <w:pPr>
        <w:ind w:left="227" w:hanging="170"/>
      </w:pPr>
      <w:r>
        <w:rPr>
          <w:b/>
        </w:rPr>
        <w:t xml:space="preserve">2. </w:t>
      </w:r>
      <w:r>
        <w:t>Train local experts and graph model independently; measure component metrics.</w:t>
      </w:r>
    </w:p>
    <w:p>
      <w:pPr>
        <w:ind w:left="227" w:hanging="170"/>
      </w:pPr>
      <w:r>
        <w:rPr>
          <w:b/>
        </w:rPr>
        <w:t xml:space="preserve">3. </w:t>
      </w:r>
      <w:r>
        <w:t>Calibrate probabilities / conformal scores on held-out time slice.</w:t>
      </w:r>
    </w:p>
    <w:p>
      <w:pPr>
        <w:ind w:left="227" w:hanging="170"/>
      </w:pPr>
      <w:r>
        <w:rPr>
          <w:b/>
        </w:rPr>
        <w:t xml:space="preserve">4. </w:t>
      </w:r>
      <w:r>
        <w:t>Generate policy trajectories from digital twin and logged outcomes; train conservative action policy offline.</w:t>
      </w:r>
    </w:p>
    <w:p>
      <w:pPr>
        <w:ind w:left="227" w:hanging="170"/>
      </w:pPr>
      <w:r>
        <w:rPr>
          <w:b/>
        </w:rPr>
        <w:t xml:space="preserve">5. </w:t>
      </w:r>
      <w:r>
        <w:t>Run integrated replay with exact runtime feature transformations.</w:t>
      </w:r>
    </w:p>
    <w:p>
      <w:pPr>
        <w:ind w:left="227" w:hanging="170"/>
      </w:pPr>
      <w:r>
        <w:rPr>
          <w:b/>
        </w:rPr>
        <w:t xml:space="preserve">6. </w:t>
      </w:r>
      <w:r>
        <w:t>Export quantized edge bundle; benchmark on actual Android device through the same SDK interface.</w:t>
      </w:r>
    </w:p>
    <w:p>
      <w:pPr>
        <w:ind w:left="227" w:hanging="170"/>
      </w:pPr>
      <w:r>
        <w:rPr>
          <w:b/>
        </w:rPr>
        <w:t xml:space="preserve">7. </w:t>
      </w:r>
      <w:r>
        <w:t>Register hashes/versions; only then promote to pilot/shadow environment.</w:t>
      </w:r>
    </w:p>
    <w:p>
      <w:pPr>
        <w:pStyle w:val="Heading2"/>
      </w:pPr>
      <w:r>
        <w:t>Future federated learning</w:t>
      </w:r>
    </w:p>
    <w:p>
      <w:r>
        <w:t>Federated averaging is a research-backed pattern for training across decentralised data without centralising raw records. [EXT; Ref. 26] A future cross-institution Vyuha could federate selected model updates, but regulatory, competitive, poisoning and non-IID issues make this a roadmap item, not an MVP dependency.</w:t>
      </w:r>
    </w:p>
    <w:p>
      <w:r>
        <w:br w:type="page"/>
      </w:r>
    </w:p>
    <w:p>
      <w:pPr>
        <w:spacing w:after="0"/>
      </w:pPr>
      <w:r>
        <w:rPr>
          <w:b/>
          <w:sz w:val="15"/>
        </w:rPr>
        <w:t>EVALUATION</w:t>
      </w:r>
    </w:p>
    <w:p>
      <w:pPr>
        <w:pStyle w:val="Heading1"/>
      </w:pPr>
      <w:r>
        <w:t>Benchmark Matrix, Metrics and Claim Gate</w:t>
      </w:r>
    </w:p>
    <w:p>
      <w:pPr>
        <w:jc w:val="center"/>
      </w:pPr>
      <w:r>
        <w:drawing>
          <wp:inline xmlns:a="http://schemas.openxmlformats.org/drawingml/2006/main" xmlns:pic="http://schemas.openxmlformats.org/drawingml/2006/picture">
            <wp:extent cx="6048000" cy="3078280"/>
            <wp:docPr id="6" name="Picture 6"/>
            <wp:cNvGraphicFramePr>
              <a:graphicFrameLocks noChangeAspect="1"/>
            </wp:cNvGraphicFramePr>
            <a:graphic>
              <a:graphicData uri="http://schemas.openxmlformats.org/drawingml/2006/picture">
                <pic:pic>
                  <pic:nvPicPr>
                    <pic:cNvPr id="0" name="evaluation.png"/>
                    <pic:cNvPicPr/>
                  </pic:nvPicPr>
                  <pic:blipFill>
                    <a:blip r:embed="rId15"/>
                    <a:stretch>
                      <a:fillRect/>
                    </a:stretch>
                  </pic:blipFill>
                  <pic:spPr>
                    <a:xfrm>
                      <a:off x="0" y="0"/>
                      <a:ext cx="6048000" cy="3078280"/>
                    </a:xfrm>
                    <a:prstGeom prst="rect"/>
                  </pic:spPr>
                </pic:pic>
              </a:graphicData>
            </a:graphic>
          </wp:inline>
        </w:drawing>
      </w:r>
    </w:p>
    <w:p>
      <w:pPr>
        <w:pStyle w:val="Caption"/>
        <w:jc w:val="center"/>
      </w:pPr>
      <w:r>
        <w:t>Figure 6. Evaluation ladder. Hackathon evidence can satisfy early stages; production claims require later stages.</w:t>
      </w:r>
    </w:p>
    <w:tbl>
      <w:tblPr>
        <w:tblStyle w:val="TableGrid"/>
        <w:tblW w:type="auto" w:w="0"/>
        <w:jc w:val="center"/>
        <w:tblLook w:firstColumn="1" w:firstRow="1" w:lastColumn="0" w:lastRow="0" w:noHBand="0" w:noVBand="1" w:val="04A0"/>
      </w:tblPr>
      <w:tblGrid>
        <w:gridCol w:w="3459"/>
        <w:gridCol w:w="3459"/>
        <w:gridCol w:w="3459"/>
      </w:tblGrid>
      <w:tr>
        <w:trPr>
          <w:cantSplit/>
        </w:trPr>
        <w:tc>
          <w:tcPr>
            <w:tcW w:type="dxa" w:w="1701"/>
            <w:shd w:fill="E7E6E6"/>
            <w:vAlign w:val="center"/>
          </w:tcPr>
          <w:p>
            <w:pPr>
              <w:spacing w:after="0" w:line="240" w:lineRule="auto"/>
            </w:pPr>
            <w:r/>
            <w:r>
              <w:rPr>
                <w:rFonts w:ascii="Liberation Sans" w:hAnsi="Liberation Sans"/>
                <w:b/>
                <w:sz w:val="14"/>
              </w:rPr>
              <w:t>Layer</w:t>
            </w:r>
          </w:p>
        </w:tc>
        <w:tc>
          <w:tcPr>
            <w:tcW w:type="dxa" w:w="3969"/>
            <w:shd w:fill="E7E6E6"/>
            <w:vAlign w:val="center"/>
          </w:tcPr>
          <w:p>
            <w:pPr>
              <w:spacing w:after="0" w:line="240" w:lineRule="auto"/>
            </w:pPr>
            <w:r/>
            <w:r>
              <w:rPr>
                <w:rFonts w:ascii="Liberation Sans" w:hAnsi="Liberation Sans"/>
                <w:b/>
                <w:sz w:val="14"/>
              </w:rPr>
              <w:t>Primary metrics</w:t>
            </w:r>
          </w:p>
        </w:tc>
        <w:tc>
          <w:tcPr>
            <w:tcW w:type="dxa" w:w="4139"/>
            <w:shd w:fill="E7E6E6"/>
            <w:vAlign w:val="center"/>
          </w:tcPr>
          <w:p>
            <w:pPr>
              <w:spacing w:after="0" w:line="240" w:lineRule="auto"/>
            </w:pPr>
            <w:r/>
            <w:r>
              <w:rPr>
                <w:rFonts w:ascii="Liberation Sans" w:hAnsi="Liberation Sans"/>
                <w:b/>
                <w:sz w:val="14"/>
              </w:rPr>
              <w:t>Proposed acceptance target / interpretation</w:t>
            </w:r>
          </w:p>
        </w:tc>
      </w:tr>
      <w:tr>
        <w:trPr>
          <w:cantSplit/>
        </w:trPr>
        <w:tc>
          <w:tcPr>
            <w:tcW w:type="dxa" w:w="1701"/>
            <w:vAlign w:val="center"/>
          </w:tcPr>
          <w:p>
            <w:pPr>
              <w:spacing w:after="0" w:line="240" w:lineRule="auto"/>
            </w:pPr>
            <w:r/>
            <w:r>
              <w:rPr>
                <w:rFonts w:ascii="Liberation Sans" w:hAnsi="Liberation Sans"/>
                <w:b w:val="0"/>
                <w:sz w:val="14"/>
              </w:rPr>
              <w:t>Edge classifier</w:t>
            </w:r>
          </w:p>
        </w:tc>
        <w:tc>
          <w:tcPr>
            <w:tcW w:type="dxa" w:w="3969"/>
            <w:vAlign w:val="center"/>
          </w:tcPr>
          <w:p>
            <w:pPr>
              <w:spacing w:after="0" w:line="240" w:lineRule="auto"/>
            </w:pPr>
            <w:r/>
            <w:r>
              <w:rPr>
                <w:rFonts w:ascii="Liberation Sans" w:hAnsi="Liberation Sans"/>
                <w:b w:val="0"/>
                <w:sz w:val="14"/>
              </w:rPr>
              <w:t>PR-AUC, recall@FPR, calibration, OOD/abstention</w:t>
            </w:r>
          </w:p>
        </w:tc>
        <w:tc>
          <w:tcPr>
            <w:tcW w:type="dxa" w:w="4139"/>
            <w:vAlign w:val="center"/>
          </w:tcPr>
          <w:p>
            <w:pPr>
              <w:spacing w:after="0" w:line="240" w:lineRule="auto"/>
            </w:pPr>
            <w:r/>
            <w:r>
              <w:rPr>
                <w:rFonts w:ascii="Liberation Sans" w:hAnsi="Liberation Sans"/>
                <w:b w:val="0"/>
                <w:sz w:val="14"/>
              </w:rPr>
              <w:t>Report measured values; no universal target until synthetic baseline is known.</w:t>
            </w:r>
          </w:p>
        </w:tc>
      </w:tr>
      <w:tr>
        <w:trPr>
          <w:cantSplit/>
        </w:trPr>
        <w:tc>
          <w:tcPr>
            <w:tcW w:type="dxa" w:w="1701"/>
            <w:vAlign w:val="center"/>
          </w:tcPr>
          <w:p>
            <w:pPr>
              <w:spacing w:after="0" w:line="240" w:lineRule="auto"/>
            </w:pPr>
            <w:r/>
            <w:r>
              <w:rPr>
                <w:rFonts w:ascii="Liberation Sans" w:hAnsi="Liberation Sans"/>
                <w:b w:val="0"/>
                <w:sz w:val="14"/>
              </w:rPr>
              <w:t>Benign UX</w:t>
            </w:r>
          </w:p>
        </w:tc>
        <w:tc>
          <w:tcPr>
            <w:tcW w:type="dxa" w:w="3969"/>
            <w:vAlign w:val="center"/>
          </w:tcPr>
          <w:p>
            <w:pPr>
              <w:spacing w:after="0" w:line="240" w:lineRule="auto"/>
            </w:pPr>
            <w:r/>
            <w:r>
              <w:rPr>
                <w:rFonts w:ascii="Liberation Sans" w:hAnsi="Liberation Sans"/>
                <w:b w:val="0"/>
                <w:sz w:val="14"/>
              </w:rPr>
              <w:t>additional-friction rate, high-friction rate</w:t>
            </w:r>
          </w:p>
        </w:tc>
        <w:tc>
          <w:tcPr>
            <w:tcW w:type="dxa" w:w="4139"/>
            <w:vAlign w:val="center"/>
          </w:tcPr>
          <w:p>
            <w:pPr>
              <w:spacing w:after="0" w:line="240" w:lineRule="auto"/>
            </w:pPr>
            <w:r/>
            <w:r>
              <w:rPr>
                <w:rFonts w:ascii="Liberation Sans" w:hAnsi="Liberation Sans"/>
                <w:b w:val="0"/>
                <w:sz w:val="14"/>
              </w:rPr>
              <w:t>[TARGET] &lt;0.5% any added friction and &lt;0.05% high friction in benign evaluation set; aspirational, not claimed.</w:t>
            </w:r>
          </w:p>
        </w:tc>
      </w:tr>
      <w:tr>
        <w:trPr>
          <w:cantSplit/>
        </w:trPr>
        <w:tc>
          <w:tcPr>
            <w:tcW w:type="dxa" w:w="1701"/>
            <w:vAlign w:val="center"/>
          </w:tcPr>
          <w:p>
            <w:pPr>
              <w:spacing w:after="0" w:line="240" w:lineRule="auto"/>
            </w:pPr>
            <w:r/>
            <w:r>
              <w:rPr>
                <w:rFonts w:ascii="Liberation Sans" w:hAnsi="Liberation Sans"/>
                <w:b w:val="0"/>
                <w:sz w:val="14"/>
              </w:rPr>
              <w:t>ST-GNN</w:t>
            </w:r>
          </w:p>
        </w:tc>
        <w:tc>
          <w:tcPr>
            <w:tcW w:type="dxa" w:w="3969"/>
            <w:vAlign w:val="center"/>
          </w:tcPr>
          <w:p>
            <w:pPr>
              <w:spacing w:after="0" w:line="240" w:lineRule="auto"/>
            </w:pPr>
            <w:r/>
            <w:r>
              <w:rPr>
                <w:rFonts w:ascii="Liberation Sans" w:hAnsi="Liberation Sans"/>
                <w:b w:val="0"/>
                <w:sz w:val="14"/>
              </w:rPr>
              <w:t>node/edge PR-AUC, recall, time-split generalisation, camouflage robustness</w:t>
            </w:r>
          </w:p>
        </w:tc>
        <w:tc>
          <w:tcPr>
            <w:tcW w:type="dxa" w:w="4139"/>
            <w:vAlign w:val="center"/>
          </w:tcPr>
          <w:p>
            <w:pPr>
              <w:spacing w:after="0" w:line="240" w:lineRule="auto"/>
            </w:pPr>
            <w:r/>
            <w:r>
              <w:rPr>
                <w:rFonts w:ascii="Liberation Sans" w:hAnsi="Liberation Sans"/>
                <w:b w:val="0"/>
                <w:sz w:val="14"/>
              </w:rPr>
              <w:t>Compare to logistic/XGBoost + GraphSAGE/TGAT baselines.</w:t>
            </w:r>
          </w:p>
        </w:tc>
      </w:tr>
      <w:tr>
        <w:trPr>
          <w:cantSplit/>
        </w:trPr>
        <w:tc>
          <w:tcPr>
            <w:tcW w:type="dxa" w:w="1701"/>
            <w:vAlign w:val="center"/>
          </w:tcPr>
          <w:p>
            <w:pPr>
              <w:spacing w:after="0" w:line="240" w:lineRule="auto"/>
            </w:pPr>
            <w:r/>
            <w:r>
              <w:rPr>
                <w:rFonts w:ascii="Liberation Sans" w:hAnsi="Liberation Sans"/>
                <w:b w:val="0"/>
                <w:sz w:val="14"/>
              </w:rPr>
              <w:t>Latency</w:t>
            </w:r>
          </w:p>
        </w:tc>
        <w:tc>
          <w:tcPr>
            <w:tcW w:type="dxa" w:w="3969"/>
            <w:vAlign w:val="center"/>
          </w:tcPr>
          <w:p>
            <w:pPr>
              <w:spacing w:after="0" w:line="240" w:lineRule="auto"/>
            </w:pPr>
            <w:r/>
            <w:r>
              <w:rPr>
                <w:rFonts w:ascii="Liberation Sans" w:hAnsi="Liberation Sans"/>
                <w:b w:val="0"/>
                <w:sz w:val="14"/>
              </w:rPr>
              <w:t>local p50/p95, graph RTT, end-to-end</w:t>
            </w:r>
          </w:p>
        </w:tc>
        <w:tc>
          <w:tcPr>
            <w:tcW w:type="dxa" w:w="4139"/>
            <w:vAlign w:val="center"/>
          </w:tcPr>
          <w:p>
            <w:pPr>
              <w:spacing w:after="0" w:line="240" w:lineRule="auto"/>
            </w:pPr>
            <w:r/>
            <w:r>
              <w:rPr>
                <w:rFonts w:ascii="Liberation Sans" w:hAnsi="Liberation Sans"/>
                <w:b w:val="0"/>
                <w:sz w:val="14"/>
              </w:rPr>
              <w:t>[TARGET] local p95 &lt;50 ms; graph service budget &lt;120 ms p95 where online; graph timeout bounded.</w:t>
            </w:r>
          </w:p>
        </w:tc>
      </w:tr>
      <w:tr>
        <w:trPr>
          <w:cantSplit/>
        </w:trPr>
        <w:tc>
          <w:tcPr>
            <w:tcW w:type="dxa" w:w="1701"/>
            <w:vAlign w:val="center"/>
          </w:tcPr>
          <w:p>
            <w:pPr>
              <w:spacing w:after="0" w:line="240" w:lineRule="auto"/>
            </w:pPr>
            <w:r/>
            <w:r>
              <w:rPr>
                <w:rFonts w:ascii="Liberation Sans" w:hAnsi="Liberation Sans"/>
                <w:b w:val="0"/>
                <w:sz w:val="14"/>
              </w:rPr>
              <w:t>Resource</w:t>
            </w:r>
          </w:p>
        </w:tc>
        <w:tc>
          <w:tcPr>
            <w:tcW w:type="dxa" w:w="3969"/>
            <w:vAlign w:val="center"/>
          </w:tcPr>
          <w:p>
            <w:pPr>
              <w:spacing w:after="0" w:line="240" w:lineRule="auto"/>
            </w:pPr>
            <w:r/>
            <w:r>
              <w:rPr>
                <w:rFonts w:ascii="Liberation Sans" w:hAnsi="Liberation Sans"/>
                <w:b w:val="0"/>
                <w:sz w:val="14"/>
              </w:rPr>
              <w:t>bundle MB, RAM, CPU duty, battery delta</w:t>
            </w:r>
          </w:p>
        </w:tc>
        <w:tc>
          <w:tcPr>
            <w:tcW w:type="dxa" w:w="4139"/>
            <w:vAlign w:val="center"/>
          </w:tcPr>
          <w:p>
            <w:pPr>
              <w:spacing w:after="0" w:line="240" w:lineRule="auto"/>
            </w:pPr>
            <w:r/>
            <w:r>
              <w:rPr>
                <w:rFonts w:ascii="Liberation Sans" w:hAnsi="Liberation Sans"/>
                <w:b w:val="0"/>
                <w:sz w:val="14"/>
              </w:rPr>
              <w:t>Measure on at least one mid-range Android device; publish device/model details.</w:t>
            </w:r>
          </w:p>
        </w:tc>
      </w:tr>
      <w:tr>
        <w:trPr>
          <w:cantSplit/>
        </w:trPr>
        <w:tc>
          <w:tcPr>
            <w:tcW w:type="dxa" w:w="1701"/>
            <w:vAlign w:val="center"/>
          </w:tcPr>
          <w:p>
            <w:pPr>
              <w:spacing w:after="0" w:line="240" w:lineRule="auto"/>
            </w:pPr>
            <w:r/>
            <w:r>
              <w:rPr>
                <w:rFonts w:ascii="Liberation Sans" w:hAnsi="Liberation Sans"/>
                <w:b w:val="0"/>
                <w:sz w:val="14"/>
              </w:rPr>
              <w:t>Policy</w:t>
            </w:r>
          </w:p>
        </w:tc>
        <w:tc>
          <w:tcPr>
            <w:tcW w:type="dxa" w:w="3969"/>
            <w:vAlign w:val="center"/>
          </w:tcPr>
          <w:p>
            <w:pPr>
              <w:spacing w:after="0" w:line="240" w:lineRule="auto"/>
            </w:pPr>
            <w:r/>
            <w:r>
              <w:rPr>
                <w:rFonts w:ascii="Liberation Sans" w:hAnsi="Liberation Sans"/>
                <w:b w:val="0"/>
                <w:sz w:val="14"/>
              </w:rPr>
              <w:t>prevented-loss proxy, friction cost, regret vs baseline</w:t>
            </w:r>
          </w:p>
        </w:tc>
        <w:tc>
          <w:tcPr>
            <w:tcW w:type="dxa" w:w="4139"/>
            <w:vAlign w:val="center"/>
          </w:tcPr>
          <w:p>
            <w:pPr>
              <w:spacing w:after="0" w:line="240" w:lineRule="auto"/>
            </w:pPr>
            <w:r/>
            <w:r>
              <w:rPr>
                <w:rFonts w:ascii="Liberation Sans" w:hAnsi="Liberation Sans"/>
                <w:b w:val="0"/>
                <w:sz w:val="14"/>
              </w:rPr>
              <w:t>Offline digital-twin + replay only until controlled pilot.</w:t>
            </w:r>
          </w:p>
        </w:tc>
      </w:tr>
      <w:tr>
        <w:trPr>
          <w:cantSplit/>
        </w:trPr>
        <w:tc>
          <w:tcPr>
            <w:tcW w:type="dxa" w:w="1701"/>
            <w:vAlign w:val="center"/>
          </w:tcPr>
          <w:p>
            <w:pPr>
              <w:spacing w:after="0" w:line="240" w:lineRule="auto"/>
            </w:pPr>
            <w:r/>
            <w:r>
              <w:rPr>
                <w:rFonts w:ascii="Liberation Sans" w:hAnsi="Liberation Sans"/>
                <w:b w:val="0"/>
                <w:sz w:val="14"/>
              </w:rPr>
              <w:t>Human factors</w:t>
            </w:r>
          </w:p>
        </w:tc>
        <w:tc>
          <w:tcPr>
            <w:tcW w:type="dxa" w:w="3969"/>
            <w:vAlign w:val="center"/>
          </w:tcPr>
          <w:p>
            <w:pPr>
              <w:spacing w:after="0" w:line="240" w:lineRule="auto"/>
            </w:pPr>
            <w:r/>
            <w:r>
              <w:rPr>
                <w:rFonts w:ascii="Liberation Sans" w:hAnsi="Liberation Sans"/>
                <w:b w:val="0"/>
                <w:sz w:val="14"/>
              </w:rPr>
              <w:t>comprehension, cancel/verify behavior, accessibility</w:t>
            </w:r>
          </w:p>
        </w:tc>
        <w:tc>
          <w:tcPr>
            <w:tcW w:type="dxa" w:w="4139"/>
            <w:vAlign w:val="center"/>
          </w:tcPr>
          <w:p>
            <w:pPr>
              <w:spacing w:after="0" w:line="240" w:lineRule="auto"/>
            </w:pPr>
            <w:r/>
            <w:r>
              <w:rPr>
                <w:rFonts w:ascii="Liberation Sans" w:hAnsi="Liberation Sans"/>
                <w:b w:val="0"/>
                <w:sz w:val="14"/>
              </w:rPr>
              <w:t>Small supervised usability study or demo-script task; no efficacy generalisation.</w:t>
            </w:r>
          </w:p>
        </w:tc>
      </w:tr>
    </w:tbl>
    <w:p>
      <w:pPr>
        <w:pStyle w:val="Tiny"/>
      </w:pPr>
    </w:p>
    <w:p>
      <w:pPr>
        <w:pStyle w:val="Heading2"/>
      </w:pPr>
      <w:r>
        <w:t>Claim gate</w:t>
      </w:r>
    </w:p>
    <w:p>
      <w:r>
        <w:t>A number appears in the pitch only if the corresponding benchmark artifact exists. For example, “sub-50 ms” requires measured p95 local inference on named hardware and software build; “95% fast path” requires a benign evaluation distribution and fast-path proportion; “low false positives” requires a defined negative set and confidence interval. Until then, write “target” or “design objective.”</w:t>
      </w:r>
    </w:p>
    <w:p>
      <w:r>
        <w:br w:type="page"/>
      </w:r>
    </w:p>
    <w:p>
      <w:pPr>
        <w:spacing w:after="0"/>
      </w:pPr>
      <w:r>
        <w:rPr>
          <w:b/>
          <w:sz w:val="15"/>
        </w:rPr>
        <w:t>OBSERVABILITY &amp; RELIABILITY</w:t>
      </w:r>
    </w:p>
    <w:p>
      <w:pPr>
        <w:pStyle w:val="Heading1"/>
      </w:pPr>
      <w:r>
        <w:t>SLOs, Logs, Model Monitoring and Failure Recovery</w:t>
      </w:r>
    </w:p>
    <w:tbl>
      <w:tblPr>
        <w:tblStyle w:val="TableGrid"/>
        <w:tblW w:type="auto" w:w="0"/>
        <w:jc w:val="center"/>
        <w:tblLook w:firstColumn="1" w:firstRow="1" w:lastColumn="0" w:lastRow="0" w:noHBand="0" w:noVBand="1" w:val="04A0"/>
      </w:tblPr>
      <w:tblGrid>
        <w:gridCol w:w="3459"/>
        <w:gridCol w:w="3459"/>
        <w:gridCol w:w="3459"/>
      </w:tblGrid>
      <w:tr>
        <w:trPr>
          <w:cantSplit/>
        </w:trPr>
        <w:tc>
          <w:tcPr>
            <w:tcW w:type="dxa" w:w="1814"/>
            <w:shd w:fill="E7E6E6"/>
            <w:vAlign w:val="center"/>
          </w:tcPr>
          <w:p>
            <w:pPr>
              <w:spacing w:after="0" w:line="240" w:lineRule="auto"/>
            </w:pPr>
            <w:r/>
            <w:r>
              <w:rPr>
                <w:rFonts w:ascii="Liberation Sans" w:hAnsi="Liberation Sans"/>
                <w:b/>
                <w:sz w:val="14"/>
              </w:rPr>
              <w:t>Telemetry class</w:t>
            </w:r>
          </w:p>
        </w:tc>
        <w:tc>
          <w:tcPr>
            <w:tcW w:type="dxa" w:w="4535"/>
            <w:shd w:fill="E7E6E6"/>
            <w:vAlign w:val="center"/>
          </w:tcPr>
          <w:p>
            <w:pPr>
              <w:spacing w:after="0" w:line="240" w:lineRule="auto"/>
            </w:pPr>
            <w:r/>
            <w:r>
              <w:rPr>
                <w:rFonts w:ascii="Liberation Sans" w:hAnsi="Liberation Sans"/>
                <w:b/>
                <w:sz w:val="14"/>
              </w:rPr>
              <w:t>Examples</w:t>
            </w:r>
          </w:p>
        </w:tc>
        <w:tc>
          <w:tcPr>
            <w:tcW w:type="dxa" w:w="3458"/>
            <w:shd w:fill="E7E6E6"/>
            <w:vAlign w:val="center"/>
          </w:tcPr>
          <w:p>
            <w:pPr>
              <w:spacing w:after="0" w:line="240" w:lineRule="auto"/>
            </w:pPr>
            <w:r/>
            <w:r>
              <w:rPr>
                <w:rFonts w:ascii="Liberation Sans" w:hAnsi="Liberation Sans"/>
                <w:b/>
                <w:sz w:val="14"/>
              </w:rPr>
              <w:t>Privacy rule</w:t>
            </w:r>
          </w:p>
        </w:tc>
      </w:tr>
      <w:tr>
        <w:trPr>
          <w:cantSplit/>
        </w:trPr>
        <w:tc>
          <w:tcPr>
            <w:tcW w:type="dxa" w:w="1814"/>
            <w:vAlign w:val="center"/>
          </w:tcPr>
          <w:p>
            <w:pPr>
              <w:spacing w:after="0" w:line="240" w:lineRule="auto"/>
            </w:pPr>
            <w:r/>
            <w:r>
              <w:rPr>
                <w:rFonts w:ascii="Liberation Sans" w:hAnsi="Liberation Sans"/>
                <w:b w:val="0"/>
                <w:sz w:val="14"/>
              </w:rPr>
              <w:t>Performance</w:t>
            </w:r>
          </w:p>
        </w:tc>
        <w:tc>
          <w:tcPr>
            <w:tcW w:type="dxa" w:w="4535"/>
            <w:vAlign w:val="center"/>
          </w:tcPr>
          <w:p>
            <w:pPr>
              <w:spacing w:after="0" w:line="240" w:lineRule="auto"/>
            </w:pPr>
            <w:r/>
            <w:r>
              <w:rPr>
                <w:rFonts w:ascii="Liberation Sans" w:hAnsi="Liberation Sans"/>
                <w:b w:val="0"/>
                <w:sz w:val="14"/>
              </w:rPr>
              <w:t>inference_ms, graph_rtt_ms, action_render_ms, bundle_load_ms</w:t>
            </w:r>
          </w:p>
        </w:tc>
        <w:tc>
          <w:tcPr>
            <w:tcW w:type="dxa" w:w="3458"/>
            <w:vAlign w:val="center"/>
          </w:tcPr>
          <w:p>
            <w:pPr>
              <w:spacing w:after="0" w:line="240" w:lineRule="auto"/>
            </w:pPr>
            <w:r/>
            <w:r>
              <w:rPr>
                <w:rFonts w:ascii="Liberation Sans" w:hAnsi="Liberation Sans"/>
                <w:b w:val="0"/>
                <w:sz w:val="14"/>
              </w:rPr>
              <w:t>No user identity needed; aggregate where possible.</w:t>
            </w:r>
          </w:p>
        </w:tc>
      </w:tr>
      <w:tr>
        <w:trPr>
          <w:cantSplit/>
        </w:trPr>
        <w:tc>
          <w:tcPr>
            <w:tcW w:type="dxa" w:w="1814"/>
            <w:vAlign w:val="center"/>
          </w:tcPr>
          <w:p>
            <w:pPr>
              <w:spacing w:after="0" w:line="240" w:lineRule="auto"/>
            </w:pPr>
            <w:r/>
            <w:r>
              <w:rPr>
                <w:rFonts w:ascii="Liberation Sans" w:hAnsi="Liberation Sans"/>
                <w:b w:val="0"/>
                <w:sz w:val="14"/>
              </w:rPr>
              <w:t>Decision</w:t>
            </w:r>
          </w:p>
        </w:tc>
        <w:tc>
          <w:tcPr>
            <w:tcW w:type="dxa" w:w="4535"/>
            <w:vAlign w:val="center"/>
          </w:tcPr>
          <w:p>
            <w:pPr>
              <w:spacing w:after="0" w:line="240" w:lineRule="auto"/>
            </w:pPr>
            <w:r/>
            <w:r>
              <w:rPr>
                <w:rFonts w:ascii="Liberation Sans" w:hAnsi="Liberation Sans"/>
                <w:b w:val="0"/>
                <w:sz w:val="14"/>
              </w:rPr>
              <w:t>risk tier, reason codes, action ID, abstain flag, model/policy versions</w:t>
            </w:r>
          </w:p>
        </w:tc>
        <w:tc>
          <w:tcPr>
            <w:tcW w:type="dxa" w:w="3458"/>
            <w:vAlign w:val="center"/>
          </w:tcPr>
          <w:p>
            <w:pPr>
              <w:spacing w:after="0" w:line="240" w:lineRule="auto"/>
            </w:pPr>
            <w:r/>
            <w:r>
              <w:rPr>
                <w:rFonts w:ascii="Liberation Sans" w:hAnsi="Liberation Sans"/>
                <w:b w:val="0"/>
                <w:sz w:val="14"/>
              </w:rPr>
              <w:t>Pseudonymous session ID; no raw content.</w:t>
            </w:r>
          </w:p>
        </w:tc>
      </w:tr>
      <w:tr>
        <w:trPr>
          <w:cantSplit/>
        </w:trPr>
        <w:tc>
          <w:tcPr>
            <w:tcW w:type="dxa" w:w="1814"/>
            <w:vAlign w:val="center"/>
          </w:tcPr>
          <w:p>
            <w:pPr>
              <w:spacing w:after="0" w:line="240" w:lineRule="auto"/>
            </w:pPr>
            <w:r/>
            <w:r>
              <w:rPr>
                <w:rFonts w:ascii="Liberation Sans" w:hAnsi="Liberation Sans"/>
                <w:b w:val="0"/>
                <w:sz w:val="14"/>
              </w:rPr>
              <w:t>Reliability</w:t>
            </w:r>
          </w:p>
        </w:tc>
        <w:tc>
          <w:tcPr>
            <w:tcW w:type="dxa" w:w="4535"/>
            <w:vAlign w:val="center"/>
          </w:tcPr>
          <w:p>
            <w:pPr>
              <w:spacing w:after="0" w:line="240" w:lineRule="auto"/>
            </w:pPr>
            <w:r/>
            <w:r>
              <w:rPr>
                <w:rFonts w:ascii="Liberation Sans" w:hAnsi="Liberation Sans"/>
                <w:b w:val="0"/>
                <w:sz w:val="14"/>
              </w:rPr>
              <w:t>graph timeout, token verify failure, model load failure, integrity unevaluated</w:t>
            </w:r>
          </w:p>
        </w:tc>
        <w:tc>
          <w:tcPr>
            <w:tcW w:type="dxa" w:w="3458"/>
            <w:vAlign w:val="center"/>
          </w:tcPr>
          <w:p>
            <w:pPr>
              <w:spacing w:after="0" w:line="240" w:lineRule="auto"/>
            </w:pPr>
            <w:r/>
            <w:r>
              <w:rPr>
                <w:rFonts w:ascii="Liberation Sans" w:hAnsi="Liberation Sans"/>
                <w:b w:val="0"/>
                <w:sz w:val="14"/>
              </w:rPr>
              <w:t>Operational diagnosis only.</w:t>
            </w:r>
          </w:p>
        </w:tc>
      </w:tr>
      <w:tr>
        <w:trPr>
          <w:cantSplit/>
        </w:trPr>
        <w:tc>
          <w:tcPr>
            <w:tcW w:type="dxa" w:w="1814"/>
            <w:vAlign w:val="center"/>
          </w:tcPr>
          <w:p>
            <w:pPr>
              <w:spacing w:after="0" w:line="240" w:lineRule="auto"/>
            </w:pPr>
            <w:r/>
            <w:r>
              <w:rPr>
                <w:rFonts w:ascii="Liberation Sans" w:hAnsi="Liberation Sans"/>
                <w:b w:val="0"/>
                <w:sz w:val="14"/>
              </w:rPr>
              <w:t>Outcome</w:t>
            </w:r>
          </w:p>
        </w:tc>
        <w:tc>
          <w:tcPr>
            <w:tcW w:type="dxa" w:w="4535"/>
            <w:vAlign w:val="center"/>
          </w:tcPr>
          <w:p>
            <w:pPr>
              <w:spacing w:after="0" w:line="240" w:lineRule="auto"/>
            </w:pPr>
            <w:r/>
            <w:r>
              <w:rPr>
                <w:rFonts w:ascii="Liberation Sans" w:hAnsi="Liberation Sans"/>
                <w:b w:val="0"/>
                <w:sz w:val="14"/>
              </w:rPr>
              <w:t>cancelled/continued, later fraud label if institution supplies</w:t>
            </w:r>
          </w:p>
        </w:tc>
        <w:tc>
          <w:tcPr>
            <w:tcW w:type="dxa" w:w="3458"/>
            <w:vAlign w:val="center"/>
          </w:tcPr>
          <w:p>
            <w:pPr>
              <w:spacing w:after="0" w:line="240" w:lineRule="auto"/>
            </w:pPr>
            <w:r/>
            <w:r>
              <w:rPr>
                <w:rFonts w:ascii="Liberation Sans" w:hAnsi="Liberation Sans"/>
                <w:b w:val="0"/>
                <w:sz w:val="14"/>
              </w:rPr>
              <w:t>Strict retention and governance; separate immediate user response from confirmed fraud.</w:t>
            </w:r>
          </w:p>
        </w:tc>
      </w:tr>
    </w:tbl>
    <w:p>
      <w:pPr>
        <w:pStyle w:val="Tiny"/>
      </w:pPr>
    </w:p>
    <w:p>
      <w:pPr>
        <w:pStyle w:val="Heading2"/>
      </w:pPr>
      <w:r>
        <w:t>SLOs and recovery</w:t>
      </w:r>
    </w:p>
    <w:p>
      <w:pPr>
        <w:ind w:left="215" w:hanging="125"/>
      </w:pPr>
      <w:r>
        <w:rPr>
          <w:b/>
        </w:rPr>
        <w:t xml:space="preserve">• </w:t>
      </w:r>
      <w:r>
        <w:t>[TARGET] SDK availability &gt;=99.95% within a healthy host process; crash-free protected sessions &gt;=99.99% after production hardening.</w:t>
      </w:r>
    </w:p>
    <w:p>
      <w:pPr>
        <w:ind w:left="215" w:hanging="125"/>
      </w:pPr>
      <w:r>
        <w:rPr>
          <w:b/>
        </w:rPr>
        <w:t xml:space="preserve">• </w:t>
      </w:r>
      <w:r>
        <w:t>Risk service timeout is bounded (e.g., 120 ms budget in the host backend); timeout produces UNKNOWN_GRAPH, not PASS.</w:t>
      </w:r>
    </w:p>
    <w:p>
      <w:pPr>
        <w:ind w:left="215" w:hanging="125"/>
      </w:pPr>
      <w:r>
        <w:rPr>
          <w:b/>
        </w:rPr>
        <w:t xml:space="preserve">• </w:t>
      </w:r>
      <w:r>
        <w:t>Bundle update is atomic: download → signature/hash verify → compatibility check → staged activation → health monitor → rollback on failure.</w:t>
      </w:r>
    </w:p>
    <w:p>
      <w:pPr>
        <w:ind w:left="215" w:hanging="125"/>
      </w:pPr>
      <w:r>
        <w:rPr>
          <w:b/>
        </w:rPr>
        <w:t xml:space="preserve">• </w:t>
      </w:r>
      <w:r>
        <w:t>A model/policy can be remotely disabled by signed kill-switch configuration while retaining a deterministic baseline safety policy.</w:t>
      </w:r>
    </w:p>
    <w:p>
      <w:pPr>
        <w:ind w:left="215" w:hanging="125"/>
      </w:pPr>
      <w:r>
        <w:rPr>
          <w:b/>
        </w:rPr>
        <w:t xml:space="preserve">• </w:t>
      </w:r>
      <w:r>
        <w:t>Time synchronisation errors beyond tolerance invalidate short-lived risk tokens and fall back to local mode.</w:t>
      </w:r>
    </w:p>
    <w:p>
      <w:pPr>
        <w:ind w:left="215" w:hanging="125"/>
      </w:pPr>
      <w:r>
        <w:rPr>
          <w:b/>
        </w:rPr>
        <w:t xml:space="preserve">• </w:t>
      </w:r>
      <w:r>
        <w:t>All high-friction decisions expose a stable reason code for support and audit; internal neural activations are not presented as explanations.</w:t>
      </w:r>
    </w:p>
    <w:p>
      <w:pPr>
        <w:pStyle w:val="Heading2"/>
      </w:pPr>
      <w:r>
        <w:t>Model monitoring</w:t>
      </w:r>
    </w:p>
    <w:p>
      <w:r>
        <w:t>Monitor feature missingness, score distributions, calibration drift, intervention rate, graph token age, action outcomes and subgroup/accessibility regressions. Drift alerts trigger investigation, not automatic online retraining. A new model is promoted only through the lifecycle on page 25.</w:t>
      </w:r>
    </w:p>
    <w:p>
      <w:r>
        <w:br w:type="page"/>
      </w:r>
    </w:p>
    <w:p>
      <w:pPr>
        <w:spacing w:after="0"/>
      </w:pPr>
      <w:r>
        <w:rPr>
          <w:b/>
          <w:sz w:val="15"/>
        </w:rPr>
        <w:t>HACKATHON EXECUTION</w:t>
      </w:r>
    </w:p>
    <w:p>
      <w:pPr>
        <w:pStyle w:val="Heading1"/>
      </w:pPr>
      <w:r>
        <w:t>24-Hour Vertical Slice, Team Split and Demo Acceptance</w:t>
      </w:r>
    </w:p>
    <w:p>
      <w:r>
        <w:t>The ByteBuilt rulebook requires the final teams to build/refine the prototype during the 24-hour finale and submit a working model, source code, presentation and documentation. It also states that projects must be original and existing projects cannot be submitted. [SRC] The team should therefore treat this PRD, research, diagrams and planning as preparation, while competition-specific implementation follows organiser rules and any clarification received at briefing.</w:t>
      </w:r>
    </w:p>
    <w:tbl>
      <w:tblPr>
        <w:tblStyle w:val="TableGrid"/>
        <w:tblW w:type="auto" w:w="0"/>
        <w:jc w:val="center"/>
        <w:tblLook w:firstColumn="1" w:firstRow="1" w:lastColumn="0" w:lastRow="0" w:noHBand="0" w:noVBand="1" w:val="04A0"/>
      </w:tblPr>
      <w:tblGrid>
        <w:gridCol w:w="2075"/>
        <w:gridCol w:w="2075"/>
        <w:gridCol w:w="2075"/>
        <w:gridCol w:w="2075"/>
        <w:gridCol w:w="2075"/>
      </w:tblGrid>
      <w:tr>
        <w:trPr>
          <w:cantSplit/>
        </w:trPr>
        <w:tc>
          <w:tcPr>
            <w:tcW w:type="dxa" w:w="1814"/>
            <w:shd w:fill="E7E6E6"/>
            <w:vAlign w:val="center"/>
          </w:tcPr>
          <w:p>
            <w:pPr>
              <w:spacing w:after="0" w:line="240" w:lineRule="auto"/>
            </w:pPr>
            <w:r/>
            <w:r>
              <w:rPr>
                <w:rFonts w:ascii="Liberation Sans" w:hAnsi="Liberation Sans"/>
                <w:b/>
                <w:sz w:val="13"/>
              </w:rPr>
              <w:t>Owner</w:t>
            </w:r>
          </w:p>
        </w:tc>
        <w:tc>
          <w:tcPr>
            <w:tcW w:type="dxa" w:w="1984"/>
            <w:shd w:fill="E7E6E6"/>
            <w:vAlign w:val="center"/>
          </w:tcPr>
          <w:p>
            <w:pPr>
              <w:spacing w:after="0" w:line="240" w:lineRule="auto"/>
            </w:pPr>
            <w:r/>
            <w:r>
              <w:rPr>
                <w:rFonts w:ascii="Liberation Sans" w:hAnsi="Liberation Sans"/>
                <w:b/>
                <w:sz w:val="13"/>
              </w:rPr>
              <w:t>0–6 h</w:t>
            </w:r>
          </w:p>
        </w:tc>
        <w:tc>
          <w:tcPr>
            <w:tcW w:type="dxa" w:w="1984"/>
            <w:shd w:fill="E7E6E6"/>
            <w:vAlign w:val="center"/>
          </w:tcPr>
          <w:p>
            <w:pPr>
              <w:spacing w:after="0" w:line="240" w:lineRule="auto"/>
            </w:pPr>
            <w:r/>
            <w:r>
              <w:rPr>
                <w:rFonts w:ascii="Liberation Sans" w:hAnsi="Liberation Sans"/>
                <w:b/>
                <w:sz w:val="13"/>
              </w:rPr>
              <w:t>6–14 h</w:t>
            </w:r>
          </w:p>
        </w:tc>
        <w:tc>
          <w:tcPr>
            <w:tcW w:type="dxa" w:w="1984"/>
            <w:shd w:fill="E7E6E6"/>
            <w:vAlign w:val="center"/>
          </w:tcPr>
          <w:p>
            <w:pPr>
              <w:spacing w:after="0" w:line="240" w:lineRule="auto"/>
            </w:pPr>
            <w:r/>
            <w:r>
              <w:rPr>
                <w:rFonts w:ascii="Liberation Sans" w:hAnsi="Liberation Sans"/>
                <w:b/>
                <w:sz w:val="13"/>
              </w:rPr>
              <w:t>14–20 h</w:t>
            </w:r>
          </w:p>
        </w:tc>
        <w:tc>
          <w:tcPr>
            <w:tcW w:type="dxa" w:w="1984"/>
            <w:shd w:fill="E7E6E6"/>
            <w:vAlign w:val="center"/>
          </w:tcPr>
          <w:p>
            <w:pPr>
              <w:spacing w:after="0" w:line="240" w:lineRule="auto"/>
            </w:pPr>
            <w:r/>
            <w:r>
              <w:rPr>
                <w:rFonts w:ascii="Liberation Sans" w:hAnsi="Liberation Sans"/>
                <w:b/>
                <w:sz w:val="13"/>
              </w:rPr>
              <w:t>20–24 h</w:t>
            </w:r>
          </w:p>
        </w:tc>
      </w:tr>
      <w:tr>
        <w:trPr>
          <w:cantSplit/>
        </w:trPr>
        <w:tc>
          <w:tcPr>
            <w:tcW w:type="dxa" w:w="1814"/>
            <w:vAlign w:val="center"/>
          </w:tcPr>
          <w:p>
            <w:pPr>
              <w:spacing w:after="0" w:line="240" w:lineRule="auto"/>
            </w:pPr>
            <w:r/>
            <w:r>
              <w:rPr>
                <w:rFonts w:ascii="Liberation Sans" w:hAnsi="Liberation Sans"/>
                <w:b w:val="0"/>
                <w:sz w:val="13"/>
              </w:rPr>
              <w:t>AI/ML + backend</w:t>
            </w:r>
          </w:p>
        </w:tc>
        <w:tc>
          <w:tcPr>
            <w:tcW w:type="dxa" w:w="1984"/>
            <w:vAlign w:val="center"/>
          </w:tcPr>
          <w:p>
            <w:pPr>
              <w:spacing w:after="0" w:line="240" w:lineRule="auto"/>
            </w:pPr>
            <w:r/>
            <w:r>
              <w:rPr>
                <w:rFonts w:ascii="Liberation Sans" w:hAnsi="Liberation Sans"/>
                <w:b w:val="0"/>
                <w:sz w:val="13"/>
              </w:rPr>
              <w:t>Generate synthetic hetero graph; train baseline ST-GNN; graph API.</w:t>
            </w:r>
          </w:p>
        </w:tc>
        <w:tc>
          <w:tcPr>
            <w:tcW w:type="dxa" w:w="1984"/>
            <w:vAlign w:val="center"/>
          </w:tcPr>
          <w:p>
            <w:pPr>
              <w:spacing w:after="0" w:line="240" w:lineRule="auto"/>
            </w:pPr>
            <w:r/>
            <w:r>
              <w:rPr>
                <w:rFonts w:ascii="Liberation Sans" w:hAnsi="Liberation Sans"/>
                <w:b w:val="0"/>
                <w:sz w:val="13"/>
              </w:rPr>
              <w:t>Integrate Risk-MoE/belief; token contract.</w:t>
            </w:r>
          </w:p>
        </w:tc>
        <w:tc>
          <w:tcPr>
            <w:tcW w:type="dxa" w:w="1984"/>
            <w:vAlign w:val="center"/>
          </w:tcPr>
          <w:p>
            <w:pPr>
              <w:spacing w:after="0" w:line="240" w:lineRule="auto"/>
            </w:pPr>
            <w:r/>
            <w:r>
              <w:rPr>
                <w:rFonts w:ascii="Liberation Sans" w:hAnsi="Liberation Sans"/>
                <w:b w:val="0"/>
                <w:sz w:val="13"/>
              </w:rPr>
              <w:t>Bandit policy + replay; benchmark.</w:t>
            </w:r>
          </w:p>
        </w:tc>
        <w:tc>
          <w:tcPr>
            <w:tcW w:type="dxa" w:w="1984"/>
            <w:vAlign w:val="center"/>
          </w:tcPr>
          <w:p>
            <w:pPr>
              <w:spacing w:after="0" w:line="240" w:lineRule="auto"/>
            </w:pPr>
            <w:r/>
            <w:r>
              <w:rPr>
                <w:rFonts w:ascii="Liberation Sans" w:hAnsi="Liberation Sans"/>
                <w:b w:val="0"/>
                <w:sz w:val="13"/>
              </w:rPr>
              <w:t>Stabilise, metrics, jury technical notes.</w:t>
            </w:r>
          </w:p>
        </w:tc>
      </w:tr>
      <w:tr>
        <w:trPr>
          <w:cantSplit/>
        </w:trPr>
        <w:tc>
          <w:tcPr>
            <w:tcW w:type="dxa" w:w="1814"/>
            <w:vAlign w:val="center"/>
          </w:tcPr>
          <w:p>
            <w:pPr>
              <w:spacing w:after="0" w:line="240" w:lineRule="auto"/>
            </w:pPr>
            <w:r/>
            <w:r>
              <w:rPr>
                <w:rFonts w:ascii="Liberation Sans" w:hAnsi="Liberation Sans"/>
                <w:b w:val="0"/>
                <w:sz w:val="13"/>
              </w:rPr>
              <w:t>UI/UX + frontend</w:t>
            </w:r>
          </w:p>
        </w:tc>
        <w:tc>
          <w:tcPr>
            <w:tcW w:type="dxa" w:w="1984"/>
            <w:vAlign w:val="center"/>
          </w:tcPr>
          <w:p>
            <w:pPr>
              <w:spacing w:after="0" w:line="240" w:lineRule="auto"/>
            </w:pPr>
            <w:r/>
            <w:r>
              <w:rPr>
                <w:rFonts w:ascii="Liberation Sans" w:hAnsi="Liberation Sans"/>
                <w:b w:val="0"/>
                <w:sz w:val="13"/>
              </w:rPr>
              <w:t>Host payment simulator; normal/high-risk flows.</w:t>
            </w:r>
          </w:p>
        </w:tc>
        <w:tc>
          <w:tcPr>
            <w:tcW w:type="dxa" w:w="1984"/>
            <w:vAlign w:val="center"/>
          </w:tcPr>
          <w:p>
            <w:pPr>
              <w:spacing w:after="0" w:line="240" w:lineRule="auto"/>
            </w:pPr>
            <w:r/>
            <w:r>
              <w:rPr>
                <w:rFonts w:ascii="Liberation Sans" w:hAnsi="Liberation Sans"/>
                <w:b w:val="0"/>
                <w:sz w:val="13"/>
              </w:rPr>
              <w:t>Native friction screens; Safety Circle screens.</w:t>
            </w:r>
          </w:p>
        </w:tc>
        <w:tc>
          <w:tcPr>
            <w:tcW w:type="dxa" w:w="1984"/>
            <w:vAlign w:val="center"/>
          </w:tcPr>
          <w:p>
            <w:pPr>
              <w:spacing w:after="0" w:line="240" w:lineRule="auto"/>
            </w:pPr>
            <w:r/>
            <w:r>
              <w:rPr>
                <w:rFonts w:ascii="Liberation Sans" w:hAnsi="Liberation Sans"/>
                <w:b w:val="0"/>
                <w:sz w:val="13"/>
              </w:rPr>
              <w:t>Polish interaction, accessibility, animations.</w:t>
            </w:r>
          </w:p>
        </w:tc>
        <w:tc>
          <w:tcPr>
            <w:tcW w:type="dxa" w:w="1984"/>
            <w:vAlign w:val="center"/>
          </w:tcPr>
          <w:p>
            <w:pPr>
              <w:spacing w:after="0" w:line="240" w:lineRule="auto"/>
            </w:pPr>
            <w:r/>
            <w:r>
              <w:rPr>
                <w:rFonts w:ascii="Liberation Sans" w:hAnsi="Liberation Sans"/>
                <w:b w:val="0"/>
                <w:sz w:val="13"/>
              </w:rPr>
              <w:t>Demo rehearsal, visual cleanup.</w:t>
            </w:r>
          </w:p>
        </w:tc>
      </w:tr>
      <w:tr>
        <w:trPr>
          <w:cantSplit/>
        </w:trPr>
        <w:tc>
          <w:tcPr>
            <w:tcW w:type="dxa" w:w="1814"/>
            <w:vAlign w:val="center"/>
          </w:tcPr>
          <w:p>
            <w:pPr>
              <w:spacing w:after="0" w:line="240" w:lineRule="auto"/>
            </w:pPr>
            <w:r/>
            <w:r>
              <w:rPr>
                <w:rFonts w:ascii="Liberation Sans" w:hAnsi="Liberation Sans"/>
                <w:b w:val="0"/>
                <w:sz w:val="13"/>
              </w:rPr>
              <w:t>HCI / product</w:t>
            </w:r>
          </w:p>
        </w:tc>
        <w:tc>
          <w:tcPr>
            <w:tcW w:type="dxa" w:w="1984"/>
            <w:vAlign w:val="center"/>
          </w:tcPr>
          <w:p>
            <w:pPr>
              <w:spacing w:after="0" w:line="240" w:lineRule="auto"/>
            </w:pPr>
            <w:r/>
            <w:r>
              <w:rPr>
                <w:rFonts w:ascii="Liberation Sans" w:hAnsi="Liberation Sans"/>
                <w:b w:val="0"/>
                <w:sz w:val="13"/>
              </w:rPr>
              <w:t>Copy library, coercion journey, action catalogue, usability test plan.</w:t>
            </w:r>
          </w:p>
        </w:tc>
        <w:tc>
          <w:tcPr>
            <w:tcW w:type="dxa" w:w="1984"/>
            <w:vAlign w:val="center"/>
          </w:tcPr>
          <w:p>
            <w:pPr>
              <w:spacing w:after="0" w:line="240" w:lineRule="auto"/>
            </w:pPr>
            <w:r/>
            <w:r>
              <w:rPr>
                <w:rFonts w:ascii="Liberation Sans" w:hAnsi="Liberation Sans"/>
                <w:b w:val="0"/>
                <w:sz w:val="13"/>
              </w:rPr>
              <w:t>Integrate reason codes + cooling flow.</w:t>
            </w:r>
          </w:p>
        </w:tc>
        <w:tc>
          <w:tcPr>
            <w:tcW w:type="dxa" w:w="1984"/>
            <w:vAlign w:val="center"/>
          </w:tcPr>
          <w:p>
            <w:pPr>
              <w:spacing w:after="0" w:line="240" w:lineRule="auto"/>
            </w:pPr>
            <w:r/>
            <w:r>
              <w:rPr>
                <w:rFonts w:ascii="Liberation Sans" w:hAnsi="Liberation Sans"/>
                <w:b w:val="0"/>
                <w:sz w:val="13"/>
              </w:rPr>
              <w:t>Run user-flow tests; failure cases.</w:t>
            </w:r>
          </w:p>
        </w:tc>
        <w:tc>
          <w:tcPr>
            <w:tcW w:type="dxa" w:w="1984"/>
            <w:vAlign w:val="center"/>
          </w:tcPr>
          <w:p>
            <w:pPr>
              <w:spacing w:after="0" w:line="240" w:lineRule="auto"/>
            </w:pPr>
            <w:r/>
            <w:r>
              <w:rPr>
                <w:rFonts w:ascii="Liberation Sans" w:hAnsi="Liberation Sans"/>
                <w:b w:val="0"/>
                <w:sz w:val="13"/>
              </w:rPr>
              <w:t>Presentation/Q&amp;A; judge walkthrough.</w:t>
            </w:r>
          </w:p>
        </w:tc>
      </w:tr>
      <w:tr>
        <w:trPr>
          <w:cantSplit/>
        </w:trPr>
        <w:tc>
          <w:tcPr>
            <w:tcW w:type="dxa" w:w="1814"/>
            <w:vAlign w:val="center"/>
          </w:tcPr>
          <w:p>
            <w:pPr>
              <w:spacing w:after="0" w:line="240" w:lineRule="auto"/>
            </w:pPr>
            <w:r/>
            <w:r>
              <w:rPr>
                <w:rFonts w:ascii="Liberation Sans" w:hAnsi="Liberation Sans"/>
                <w:b w:val="0"/>
                <w:sz w:val="13"/>
              </w:rPr>
              <w:t>Data / features</w:t>
            </w:r>
          </w:p>
        </w:tc>
        <w:tc>
          <w:tcPr>
            <w:tcW w:type="dxa" w:w="1984"/>
            <w:vAlign w:val="center"/>
          </w:tcPr>
          <w:p>
            <w:pPr>
              <w:spacing w:after="0" w:line="240" w:lineRule="auto"/>
            </w:pPr>
            <w:r/>
            <w:r>
              <w:rPr>
                <w:rFonts w:ascii="Liberation Sans" w:hAnsi="Liberation Sans"/>
                <w:b w:val="0"/>
                <w:sz w:val="13"/>
              </w:rPr>
              <w:t>Synthetic event schema, graph generator, labels, splits.</w:t>
            </w:r>
          </w:p>
        </w:tc>
        <w:tc>
          <w:tcPr>
            <w:tcW w:type="dxa" w:w="1984"/>
            <w:vAlign w:val="center"/>
          </w:tcPr>
          <w:p>
            <w:pPr>
              <w:spacing w:after="0" w:line="240" w:lineRule="auto"/>
            </w:pPr>
            <w:r/>
            <w:r>
              <w:rPr>
                <w:rFonts w:ascii="Liberation Sans" w:hAnsi="Liberation Sans"/>
                <w:b w:val="0"/>
                <w:sz w:val="13"/>
              </w:rPr>
              <w:t>Feature pipeline + evaluation harness.</w:t>
            </w:r>
          </w:p>
        </w:tc>
        <w:tc>
          <w:tcPr>
            <w:tcW w:type="dxa" w:w="1984"/>
            <w:vAlign w:val="center"/>
          </w:tcPr>
          <w:p>
            <w:pPr>
              <w:spacing w:after="0" w:line="240" w:lineRule="auto"/>
            </w:pPr>
            <w:r/>
            <w:r>
              <w:rPr>
                <w:rFonts w:ascii="Liberation Sans" w:hAnsi="Liberation Sans"/>
                <w:b w:val="0"/>
                <w:sz w:val="13"/>
              </w:rPr>
              <w:t>Metrics dashboard; adversarial cases.</w:t>
            </w:r>
          </w:p>
        </w:tc>
        <w:tc>
          <w:tcPr>
            <w:tcW w:type="dxa" w:w="1984"/>
            <w:vAlign w:val="center"/>
          </w:tcPr>
          <w:p>
            <w:pPr>
              <w:spacing w:after="0" w:line="240" w:lineRule="auto"/>
            </w:pPr>
            <w:r/>
            <w:r>
              <w:rPr>
                <w:rFonts w:ascii="Liberation Sans" w:hAnsi="Liberation Sans"/>
                <w:b w:val="0"/>
                <w:sz w:val="13"/>
              </w:rPr>
              <w:t>Evidence table and reproducibility package.</w:t>
            </w:r>
          </w:p>
        </w:tc>
      </w:tr>
    </w:tbl>
    <w:p>
      <w:pPr>
        <w:pStyle w:val="Tiny"/>
      </w:pPr>
    </w:p>
    <w:p>
      <w:pPr>
        <w:pStyle w:val="Heading2"/>
      </w:pPr>
      <w:r>
        <w:t>Must-demo acceptance sequence</w:t>
      </w:r>
    </w:p>
    <w:p>
      <w:pPr>
        <w:ind w:left="227" w:hanging="170"/>
      </w:pPr>
      <w:r>
        <w:rPr>
          <w:b/>
        </w:rPr>
        <w:t xml:space="preserve">1. </w:t>
      </w:r>
      <w:r>
        <w:t>Benign payment executes with no Vyuha UI; trace shows fast path and measured local latency.</w:t>
      </w:r>
    </w:p>
    <w:p>
      <w:pPr>
        <w:ind w:left="227" w:hanging="170"/>
      </w:pPr>
      <w:r>
        <w:rPr>
          <w:b/>
        </w:rPr>
        <w:t xml:space="preserve">2. </w:t>
      </w:r>
      <w:r>
        <w:t>High-risk scenario starts with active communication/access-risk + anomalous amount/new beneficiary.</w:t>
      </w:r>
    </w:p>
    <w:p>
      <w:pPr>
        <w:ind w:left="227" w:hanging="170"/>
      </w:pPr>
      <w:r>
        <w:rPr>
          <w:b/>
        </w:rPr>
        <w:t xml:space="preserve">3. </w:t>
      </w:r>
      <w:r>
        <w:t>Graph service scores a suspicious beneficiary from the live synthetic temporal graph and returns signed token.</w:t>
      </w:r>
    </w:p>
    <w:p>
      <w:pPr>
        <w:ind w:left="227" w:hanging="170"/>
      </w:pPr>
      <w:r>
        <w:rPr>
          <w:b/>
        </w:rPr>
        <w:t xml:space="preserve">4. </w:t>
      </w:r>
      <w:r>
        <w:t>Belief state rises across events; UI can display an engineering/debug trace for judges without exposing this to end users.</w:t>
      </w:r>
    </w:p>
    <w:p>
      <w:pPr>
        <w:ind w:left="227" w:hanging="170"/>
      </w:pPr>
      <w:r>
        <w:rPr>
          <w:b/>
        </w:rPr>
        <w:t xml:space="preserve">5. </w:t>
      </w:r>
      <w:r>
        <w:t>Policy selects isolation-break / close-risk / cooling action; user can verify or cancel.</w:t>
      </w:r>
    </w:p>
    <w:p>
      <w:pPr>
        <w:ind w:left="227" w:hanging="170"/>
      </w:pPr>
      <w:r>
        <w:rPr>
          <w:b/>
        </w:rPr>
        <w:t xml:space="preserve">6. </w:t>
      </w:r>
      <w:r>
        <w:t>Dashboard shows model versions, reason codes, graph motif and measured benchmark values, clearly marked synthetic where applicable.</w:t>
      </w:r>
    </w:p>
    <w:tbl>
      <w:tblPr>
        <w:tblStyle w:val="TableGrid"/>
        <w:tblW w:type="auto" w:w="0"/>
        <w:jc w:val="center"/>
        <w:tblLook w:firstColumn="1" w:firstRow="1" w:lastColumn="0" w:lastRow="0" w:noHBand="0" w:noVBand="1" w:val="04A0"/>
      </w:tblPr>
      <w:tblGrid>
        <w:gridCol w:w="10376"/>
      </w:tblGrid>
      <w:tr>
        <w:trPr>
          <w:cantSplit/>
        </w:trPr>
        <w:tc>
          <w:tcPr>
            <w:tcW w:type="dxa" w:w="10376"/>
            <w:shd w:fill="F2F2F2"/>
            <w:vAlign w:val="center"/>
          </w:tcPr>
          <w:p>
            <w:pPr>
              <w:spacing w:after="20"/>
            </w:pPr>
            <w:r/>
            <w:r>
              <w:rPr>
                <w:rFonts w:ascii="Liberation Sans" w:hAnsi="Liberation Sans"/>
                <w:b/>
                <w:sz w:val="17"/>
              </w:rPr>
              <w:t xml:space="preserve">Demo rule — </w:t>
            </w:r>
            <w:r>
              <w:rPr>
                <w:rFonts w:ascii="Liberation Sans" w:hAnsi="Liberation Sans"/>
                <w:sz w:val="17"/>
              </w:rPr>
              <w:t>Do not spend finale time building every roadmap feature. Win with one end-to-end path in which every deep-tech component actually changes the decision.</w:t>
            </w:r>
          </w:p>
        </w:tc>
      </w:tr>
    </w:tbl>
    <w:p>
      <w:pPr>
        <w:pStyle w:val="Tiny"/>
      </w:pPr>
    </w:p>
    <w:p>
      <w:r>
        <w:br w:type="page"/>
      </w:r>
    </w:p>
    <w:p>
      <w:pPr>
        <w:spacing w:after="0"/>
      </w:pPr>
      <w:r>
        <w:rPr>
          <w:b/>
          <w:sz w:val="15"/>
        </w:rPr>
        <w:t>ROADMAP &amp; TRACEABILITY</w:t>
      </w:r>
    </w:p>
    <w:p>
      <w:pPr>
        <w:pStyle w:val="Heading1"/>
      </w:pPr>
      <w:r>
        <w:t>Phased Delivery, Requirement Matrix and Judge-Ready Differentiation</w:t>
      </w:r>
    </w:p>
    <w:tbl>
      <w:tblPr>
        <w:tblStyle w:val="TableGrid"/>
        <w:tblW w:type="auto" w:w="0"/>
        <w:jc w:val="center"/>
        <w:tblLook w:firstColumn="1" w:firstRow="1" w:lastColumn="0" w:lastRow="0" w:noHBand="0" w:noVBand="1" w:val="04A0"/>
      </w:tblPr>
      <w:tblGrid>
        <w:gridCol w:w="3459"/>
        <w:gridCol w:w="3459"/>
        <w:gridCol w:w="3459"/>
      </w:tblGrid>
      <w:tr>
        <w:trPr>
          <w:cantSplit/>
        </w:trPr>
        <w:tc>
          <w:tcPr>
            <w:tcW w:type="dxa" w:w="1757"/>
            <w:shd w:fill="E7E6E6"/>
            <w:vAlign w:val="center"/>
          </w:tcPr>
          <w:p>
            <w:pPr>
              <w:spacing w:after="0" w:line="240" w:lineRule="auto"/>
            </w:pPr>
            <w:r/>
            <w:r>
              <w:rPr>
                <w:rFonts w:ascii="Liberation Sans" w:hAnsi="Liberation Sans"/>
                <w:b/>
                <w:sz w:val="14"/>
              </w:rPr>
              <w:t>Phase</w:t>
            </w:r>
          </w:p>
        </w:tc>
        <w:tc>
          <w:tcPr>
            <w:tcW w:type="dxa" w:w="4876"/>
            <w:shd w:fill="E7E6E6"/>
            <w:vAlign w:val="center"/>
          </w:tcPr>
          <w:p>
            <w:pPr>
              <w:spacing w:after="0" w:line="240" w:lineRule="auto"/>
            </w:pPr>
            <w:r/>
            <w:r>
              <w:rPr>
                <w:rFonts w:ascii="Liberation Sans" w:hAnsi="Liberation Sans"/>
                <w:b/>
                <w:sz w:val="14"/>
              </w:rPr>
              <w:t>Scope</w:t>
            </w:r>
          </w:p>
        </w:tc>
        <w:tc>
          <w:tcPr>
            <w:tcW w:type="dxa" w:w="3175"/>
            <w:shd w:fill="E7E6E6"/>
            <w:vAlign w:val="center"/>
          </w:tcPr>
          <w:p>
            <w:pPr>
              <w:spacing w:after="0" w:line="240" w:lineRule="auto"/>
            </w:pPr>
            <w:r/>
            <w:r>
              <w:rPr>
                <w:rFonts w:ascii="Liberation Sans" w:hAnsi="Liberation Sans"/>
                <w:b/>
                <w:sz w:val="14"/>
              </w:rPr>
              <w:t>Exit criterion</w:t>
            </w:r>
          </w:p>
        </w:tc>
      </w:tr>
      <w:tr>
        <w:trPr>
          <w:cantSplit/>
        </w:trPr>
        <w:tc>
          <w:tcPr>
            <w:tcW w:type="dxa" w:w="1757"/>
            <w:vAlign w:val="center"/>
          </w:tcPr>
          <w:p>
            <w:pPr>
              <w:spacing w:after="0" w:line="240" w:lineRule="auto"/>
            </w:pPr>
            <w:r/>
            <w:r>
              <w:rPr>
                <w:rFonts w:ascii="Liberation Sans" w:hAnsi="Liberation Sans"/>
                <w:b w:val="0"/>
                <w:sz w:val="14"/>
              </w:rPr>
              <w:t>P0 — Hackathon</w:t>
            </w:r>
          </w:p>
        </w:tc>
        <w:tc>
          <w:tcPr>
            <w:tcW w:type="dxa" w:w="4876"/>
            <w:vAlign w:val="center"/>
          </w:tcPr>
          <w:p>
            <w:pPr>
              <w:spacing w:after="0" w:line="240" w:lineRule="auto"/>
            </w:pPr>
            <w:r/>
            <w:r>
              <w:rPr>
                <w:rFonts w:ascii="Liberation Sans" w:hAnsi="Liberation Sans"/>
                <w:b w:val="0"/>
                <w:sz w:val="14"/>
              </w:rPr>
              <w:t>Android host simulator, local experts/belief, synthetic hetero ST-GNN service, constrained policy, Safety Circle mock, metrics.</w:t>
            </w:r>
          </w:p>
        </w:tc>
        <w:tc>
          <w:tcPr>
            <w:tcW w:type="dxa" w:w="3175"/>
            <w:vAlign w:val="center"/>
          </w:tcPr>
          <w:p>
            <w:pPr>
              <w:spacing w:after="0" w:line="240" w:lineRule="auto"/>
            </w:pPr>
            <w:r/>
            <w:r>
              <w:rPr>
                <w:rFonts w:ascii="Liberation Sans" w:hAnsi="Liberation Sans"/>
                <w:b w:val="0"/>
                <w:sz w:val="14"/>
              </w:rPr>
              <w:t>Two reproducible flows + source + architecture trace.</w:t>
            </w:r>
          </w:p>
        </w:tc>
      </w:tr>
      <w:tr>
        <w:trPr>
          <w:cantSplit/>
        </w:trPr>
        <w:tc>
          <w:tcPr>
            <w:tcW w:type="dxa" w:w="1757"/>
            <w:vAlign w:val="center"/>
          </w:tcPr>
          <w:p>
            <w:pPr>
              <w:spacing w:after="0" w:line="240" w:lineRule="auto"/>
            </w:pPr>
            <w:r/>
            <w:r>
              <w:rPr>
                <w:rFonts w:ascii="Liberation Sans" w:hAnsi="Liberation Sans"/>
                <w:b w:val="0"/>
                <w:sz w:val="14"/>
              </w:rPr>
              <w:t>P1 — Lab pilot</w:t>
            </w:r>
          </w:p>
        </w:tc>
        <w:tc>
          <w:tcPr>
            <w:tcW w:type="dxa" w:w="4876"/>
            <w:vAlign w:val="center"/>
          </w:tcPr>
          <w:p>
            <w:pPr>
              <w:spacing w:after="0" w:line="240" w:lineRule="auto"/>
            </w:pPr>
            <w:r/>
            <w:r>
              <w:rPr>
                <w:rFonts w:ascii="Liberation Sans" w:hAnsi="Liberation Sans"/>
                <w:b w:val="0"/>
                <w:sz w:val="14"/>
              </w:rPr>
              <w:t>Real Android integrity verdicts, signed bundles/tokens, institution-like backend, replay suite, usability study.</w:t>
            </w:r>
          </w:p>
        </w:tc>
        <w:tc>
          <w:tcPr>
            <w:tcW w:type="dxa" w:w="3175"/>
            <w:vAlign w:val="center"/>
          </w:tcPr>
          <w:p>
            <w:pPr>
              <w:spacing w:after="0" w:line="240" w:lineRule="auto"/>
            </w:pPr>
            <w:r/>
            <w:r>
              <w:rPr>
                <w:rFonts w:ascii="Liberation Sans" w:hAnsi="Liberation Sans"/>
                <w:b w:val="0"/>
                <w:sz w:val="14"/>
              </w:rPr>
              <w:t>Measured latency/calibration/friction; threat-model review.</w:t>
            </w:r>
          </w:p>
        </w:tc>
      </w:tr>
      <w:tr>
        <w:trPr>
          <w:cantSplit/>
        </w:trPr>
        <w:tc>
          <w:tcPr>
            <w:tcW w:type="dxa" w:w="1757"/>
            <w:vAlign w:val="center"/>
          </w:tcPr>
          <w:p>
            <w:pPr>
              <w:spacing w:after="0" w:line="240" w:lineRule="auto"/>
            </w:pPr>
            <w:r/>
            <w:r>
              <w:rPr>
                <w:rFonts w:ascii="Liberation Sans" w:hAnsi="Liberation Sans"/>
                <w:b w:val="0"/>
                <w:sz w:val="14"/>
              </w:rPr>
              <w:t>P2 — Institutional sandbox</w:t>
            </w:r>
          </w:p>
        </w:tc>
        <w:tc>
          <w:tcPr>
            <w:tcW w:type="dxa" w:w="4876"/>
            <w:vAlign w:val="center"/>
          </w:tcPr>
          <w:p>
            <w:pPr>
              <w:spacing w:after="0" w:line="240" w:lineRule="auto"/>
            </w:pPr>
            <w:r/>
            <w:r>
              <w:rPr>
                <w:rFonts w:ascii="Liberation Sans" w:hAnsi="Liberation Sans"/>
                <w:b w:val="0"/>
                <w:sz w:val="14"/>
              </w:rPr>
              <w:t>Bank/PSP integration, real transaction features under governance, shadow scoring, analyst dashboard.</w:t>
            </w:r>
          </w:p>
        </w:tc>
        <w:tc>
          <w:tcPr>
            <w:tcW w:type="dxa" w:w="3175"/>
            <w:vAlign w:val="center"/>
          </w:tcPr>
          <w:p>
            <w:pPr>
              <w:spacing w:after="0" w:line="240" w:lineRule="auto"/>
            </w:pPr>
            <w:r/>
            <w:r>
              <w:rPr>
                <w:rFonts w:ascii="Liberation Sans" w:hAnsi="Liberation Sans"/>
                <w:b w:val="0"/>
                <w:sz w:val="14"/>
              </w:rPr>
              <w:t>No user enforcement; validated drift/false-positive envelope.</w:t>
            </w:r>
          </w:p>
        </w:tc>
      </w:tr>
      <w:tr>
        <w:trPr>
          <w:cantSplit/>
        </w:trPr>
        <w:tc>
          <w:tcPr>
            <w:tcW w:type="dxa" w:w="1757"/>
            <w:vAlign w:val="center"/>
          </w:tcPr>
          <w:p>
            <w:pPr>
              <w:spacing w:after="0" w:line="240" w:lineRule="auto"/>
            </w:pPr>
            <w:r/>
            <w:r>
              <w:rPr>
                <w:rFonts w:ascii="Liberation Sans" w:hAnsi="Liberation Sans"/>
                <w:b w:val="0"/>
                <w:sz w:val="14"/>
              </w:rPr>
              <w:t>P3 — Controlled production</w:t>
            </w:r>
          </w:p>
        </w:tc>
        <w:tc>
          <w:tcPr>
            <w:tcW w:type="dxa" w:w="4876"/>
            <w:vAlign w:val="center"/>
          </w:tcPr>
          <w:p>
            <w:pPr>
              <w:spacing w:after="0" w:line="240" w:lineRule="auto"/>
            </w:pPr>
            <w:r/>
            <w:r>
              <w:rPr>
                <w:rFonts w:ascii="Liberation Sans" w:hAnsi="Liberation Sans"/>
                <w:b w:val="0"/>
                <w:sz w:val="14"/>
              </w:rPr>
              <w:t>Small cohort, conservative intervention, bank step-up integration, incident process.</w:t>
            </w:r>
          </w:p>
        </w:tc>
        <w:tc>
          <w:tcPr>
            <w:tcW w:type="dxa" w:w="3175"/>
            <w:vAlign w:val="center"/>
          </w:tcPr>
          <w:p>
            <w:pPr>
              <w:spacing w:after="0" w:line="240" w:lineRule="auto"/>
            </w:pPr>
            <w:r/>
            <w:r>
              <w:rPr>
                <w:rFonts w:ascii="Liberation Sans" w:hAnsi="Liberation Sans"/>
                <w:b w:val="0"/>
                <w:sz w:val="14"/>
              </w:rPr>
              <w:t>Safety/UX SLOs + governance sign-off.</w:t>
            </w:r>
          </w:p>
        </w:tc>
      </w:tr>
      <w:tr>
        <w:trPr>
          <w:cantSplit/>
        </w:trPr>
        <w:tc>
          <w:tcPr>
            <w:tcW w:type="dxa" w:w="1757"/>
            <w:vAlign w:val="center"/>
          </w:tcPr>
          <w:p>
            <w:pPr>
              <w:spacing w:after="0" w:line="240" w:lineRule="auto"/>
            </w:pPr>
            <w:r/>
            <w:r>
              <w:rPr>
                <w:rFonts w:ascii="Liberation Sans" w:hAnsi="Liberation Sans"/>
                <w:b w:val="0"/>
                <w:sz w:val="14"/>
              </w:rPr>
              <w:t>P4 — Federation / telecom</w:t>
            </w:r>
          </w:p>
        </w:tc>
        <w:tc>
          <w:tcPr>
            <w:tcW w:type="dxa" w:w="4876"/>
            <w:vAlign w:val="center"/>
          </w:tcPr>
          <w:p>
            <w:pPr>
              <w:spacing w:after="0" w:line="240" w:lineRule="auto"/>
            </w:pPr>
            <w:r/>
            <w:r>
              <w:rPr>
                <w:rFonts w:ascii="Liberation Sans" w:hAnsi="Liberation Sans"/>
                <w:b w:val="0"/>
                <w:sz w:val="14"/>
              </w:rPr>
              <w:t>FRI/telecom signal enrichment, cross-institution model research, privacy-preserving update exchange.</w:t>
            </w:r>
          </w:p>
        </w:tc>
        <w:tc>
          <w:tcPr>
            <w:tcW w:type="dxa" w:w="3175"/>
            <w:vAlign w:val="center"/>
          </w:tcPr>
          <w:p>
            <w:pPr>
              <w:spacing w:after="0" w:line="240" w:lineRule="auto"/>
            </w:pPr>
            <w:r/>
            <w:r>
              <w:rPr>
                <w:rFonts w:ascii="Liberation Sans" w:hAnsi="Liberation Sans"/>
                <w:b w:val="0"/>
                <w:sz w:val="14"/>
              </w:rPr>
              <w:t>Regulatory/contracts + anti-poisoning architecture.</w:t>
            </w:r>
          </w:p>
        </w:tc>
      </w:tr>
    </w:tbl>
    <w:p>
      <w:pPr>
        <w:pStyle w:val="Tiny"/>
      </w:pPr>
    </w:p>
    <w:p>
      <w:pPr>
        <w:pStyle w:val="Heading2"/>
      </w:pPr>
      <w:r>
        <w:t>Traceability to judging criteria</w:t>
      </w:r>
    </w:p>
    <w:tbl>
      <w:tblPr>
        <w:tblStyle w:val="TableGrid"/>
        <w:tblW w:type="auto" w:w="0"/>
        <w:jc w:val="center"/>
        <w:tblLook w:firstColumn="1" w:firstRow="1" w:lastColumn="0" w:lastRow="0" w:noHBand="0" w:noVBand="1" w:val="04A0"/>
      </w:tblPr>
      <w:tblGrid>
        <w:gridCol w:w="5188"/>
        <w:gridCol w:w="5188"/>
      </w:tblGrid>
      <w:tr>
        <w:trPr>
          <w:cantSplit/>
        </w:trPr>
        <w:tc>
          <w:tcPr>
            <w:tcW w:type="dxa" w:w="2381"/>
            <w:shd w:fill="E7E6E6"/>
            <w:vAlign w:val="center"/>
          </w:tcPr>
          <w:p>
            <w:pPr>
              <w:spacing w:after="0" w:line="240" w:lineRule="auto"/>
            </w:pPr>
            <w:r/>
            <w:r>
              <w:rPr>
                <w:rFonts w:ascii="Liberation Sans" w:hAnsi="Liberation Sans"/>
                <w:b/>
                <w:sz w:val="14"/>
              </w:rPr>
              <w:t>Criterion</w:t>
            </w:r>
          </w:p>
        </w:tc>
        <w:tc>
          <w:tcPr>
            <w:tcW w:type="dxa" w:w="7427"/>
            <w:shd w:fill="E7E6E6"/>
            <w:vAlign w:val="center"/>
          </w:tcPr>
          <w:p>
            <w:pPr>
              <w:spacing w:after="0" w:line="240" w:lineRule="auto"/>
            </w:pPr>
            <w:r/>
            <w:r>
              <w:rPr>
                <w:rFonts w:ascii="Liberation Sans" w:hAnsi="Liberation Sans"/>
                <w:b/>
                <w:sz w:val="14"/>
              </w:rPr>
              <w:t>How Vyuha answers it</w:t>
            </w:r>
          </w:p>
        </w:tc>
      </w:tr>
      <w:tr>
        <w:trPr>
          <w:cantSplit/>
        </w:trPr>
        <w:tc>
          <w:tcPr>
            <w:tcW w:type="dxa" w:w="2381"/>
            <w:vAlign w:val="center"/>
          </w:tcPr>
          <w:p>
            <w:pPr>
              <w:spacing w:after="0" w:line="240" w:lineRule="auto"/>
            </w:pPr>
            <w:r/>
            <w:r>
              <w:rPr>
                <w:rFonts w:ascii="Liberation Sans" w:hAnsi="Liberation Sans"/>
                <w:b w:val="0"/>
                <w:sz w:val="14"/>
              </w:rPr>
              <w:t>Innovation — 25</w:t>
            </w:r>
          </w:p>
        </w:tc>
        <w:tc>
          <w:tcPr>
            <w:tcW w:type="dxa" w:w="7427"/>
            <w:vAlign w:val="center"/>
          </w:tcPr>
          <w:p>
            <w:pPr>
              <w:spacing w:after="0" w:line="240" w:lineRule="auto"/>
            </w:pPr>
            <w:r/>
            <w:r>
              <w:rPr>
                <w:rFonts w:ascii="Liberation Sans" w:hAnsi="Liberation Sans"/>
                <w:b w:val="0"/>
                <w:sz w:val="14"/>
              </w:rPr>
              <w:t>Agency Integrity category; active-sensing friction; belief state; hetero temporal graph; offline adversarial policy training.</w:t>
            </w:r>
          </w:p>
        </w:tc>
      </w:tr>
      <w:tr>
        <w:trPr>
          <w:cantSplit/>
        </w:trPr>
        <w:tc>
          <w:tcPr>
            <w:tcW w:type="dxa" w:w="2381"/>
            <w:vAlign w:val="center"/>
          </w:tcPr>
          <w:p>
            <w:pPr>
              <w:spacing w:after="0" w:line="240" w:lineRule="auto"/>
            </w:pPr>
            <w:r/>
            <w:r>
              <w:rPr>
                <w:rFonts w:ascii="Liberation Sans" w:hAnsi="Liberation Sans"/>
                <w:b w:val="0"/>
                <w:sz w:val="14"/>
              </w:rPr>
              <w:t>Impact — 25</w:t>
            </w:r>
          </w:p>
        </w:tc>
        <w:tc>
          <w:tcPr>
            <w:tcW w:type="dxa" w:w="7427"/>
            <w:vAlign w:val="center"/>
          </w:tcPr>
          <w:p>
            <w:pPr>
              <w:spacing w:after="0" w:line="240" w:lineRule="auto"/>
            </w:pPr>
            <w:r/>
            <w:r>
              <w:rPr>
                <w:rFonts w:ascii="Liberation Sans" w:hAnsi="Liberation Sans"/>
                <w:b w:val="0"/>
                <w:sz w:val="14"/>
              </w:rPr>
              <w:t>Targets authorised coercion before payment while complementing FRI/mule controls; user + bank value.</w:t>
            </w:r>
          </w:p>
        </w:tc>
      </w:tr>
      <w:tr>
        <w:trPr>
          <w:cantSplit/>
        </w:trPr>
        <w:tc>
          <w:tcPr>
            <w:tcW w:type="dxa" w:w="2381"/>
            <w:vAlign w:val="center"/>
          </w:tcPr>
          <w:p>
            <w:pPr>
              <w:spacing w:after="0" w:line="240" w:lineRule="auto"/>
            </w:pPr>
            <w:r/>
            <w:r>
              <w:rPr>
                <w:rFonts w:ascii="Liberation Sans" w:hAnsi="Liberation Sans"/>
                <w:b w:val="0"/>
                <w:sz w:val="14"/>
              </w:rPr>
              <w:t>Feasibility — 20</w:t>
            </w:r>
          </w:p>
        </w:tc>
        <w:tc>
          <w:tcPr>
            <w:tcW w:type="dxa" w:w="7427"/>
            <w:vAlign w:val="center"/>
          </w:tcPr>
          <w:p>
            <w:pPr>
              <w:spacing w:after="0" w:line="240" w:lineRule="auto"/>
            </w:pPr>
            <w:r/>
            <w:r>
              <w:rPr>
                <w:rFonts w:ascii="Liberation Sans" w:hAnsi="Liberation Sans"/>
                <w:b w:val="0"/>
                <w:sz w:val="14"/>
              </w:rPr>
              <w:t>Native host integration; Android-supported access-risk signals; local runtime; institutional graph placement; explicit degradation.</w:t>
            </w:r>
          </w:p>
        </w:tc>
      </w:tr>
      <w:tr>
        <w:trPr>
          <w:cantSplit/>
        </w:trPr>
        <w:tc>
          <w:tcPr>
            <w:tcW w:type="dxa" w:w="2381"/>
            <w:vAlign w:val="center"/>
          </w:tcPr>
          <w:p>
            <w:pPr>
              <w:spacing w:after="0" w:line="240" w:lineRule="auto"/>
            </w:pPr>
            <w:r/>
            <w:r>
              <w:rPr>
                <w:rFonts w:ascii="Liberation Sans" w:hAnsi="Liberation Sans"/>
                <w:b w:val="0"/>
                <w:sz w:val="14"/>
              </w:rPr>
              <w:t>Prototype — 20</w:t>
            </w:r>
          </w:p>
        </w:tc>
        <w:tc>
          <w:tcPr>
            <w:tcW w:type="dxa" w:w="7427"/>
            <w:vAlign w:val="center"/>
          </w:tcPr>
          <w:p>
            <w:pPr>
              <w:spacing w:after="0" w:line="240" w:lineRule="auto"/>
            </w:pPr>
            <w:r/>
            <w:r>
              <w:rPr>
                <w:rFonts w:ascii="Liberation Sans" w:hAnsi="Liberation Sans"/>
                <w:b w:val="0"/>
                <w:sz w:val="14"/>
              </w:rPr>
              <w:t>Measured local inference + real graph service + adaptive intervention + trace, not slideware.</w:t>
            </w:r>
          </w:p>
        </w:tc>
      </w:tr>
      <w:tr>
        <w:trPr>
          <w:cantSplit/>
        </w:trPr>
        <w:tc>
          <w:tcPr>
            <w:tcW w:type="dxa" w:w="2381"/>
            <w:vAlign w:val="center"/>
          </w:tcPr>
          <w:p>
            <w:pPr>
              <w:spacing w:after="0" w:line="240" w:lineRule="auto"/>
            </w:pPr>
            <w:r/>
            <w:r>
              <w:rPr>
                <w:rFonts w:ascii="Liberation Sans" w:hAnsi="Liberation Sans"/>
                <w:b w:val="0"/>
                <w:sz w:val="14"/>
              </w:rPr>
              <w:t>Presentation — 10</w:t>
            </w:r>
          </w:p>
        </w:tc>
        <w:tc>
          <w:tcPr>
            <w:tcW w:type="dxa" w:w="7427"/>
            <w:vAlign w:val="center"/>
          </w:tcPr>
          <w:p>
            <w:pPr>
              <w:spacing w:after="0" w:line="240" w:lineRule="auto"/>
            </w:pPr>
            <w:r/>
            <w:r>
              <w:rPr>
                <w:rFonts w:ascii="Liberation Sans" w:hAnsi="Liberation Sans"/>
                <w:b w:val="0"/>
                <w:sz w:val="14"/>
              </w:rPr>
              <w:t>One simple human story backed by a visible technical trace; every claim tagged as measured/target/research.</w:t>
            </w:r>
          </w:p>
        </w:tc>
      </w:tr>
    </w:tbl>
    <w:p>
      <w:pPr>
        <w:pStyle w:val="Tiny"/>
      </w:pPr>
    </w:p>
    <w:tbl>
      <w:tblPr>
        <w:tblStyle w:val="TableGrid"/>
        <w:tblW w:type="auto" w:w="0"/>
        <w:jc w:val="center"/>
        <w:tblLook w:firstColumn="1" w:firstRow="1" w:lastColumn="0" w:lastRow="0" w:noHBand="0" w:noVBand="1" w:val="04A0"/>
      </w:tblPr>
      <w:tblGrid>
        <w:gridCol w:w="10376"/>
      </w:tblGrid>
      <w:tr>
        <w:trPr>
          <w:cantSplit/>
        </w:trPr>
        <w:tc>
          <w:tcPr>
            <w:tcW w:type="dxa" w:w="10376"/>
            <w:shd w:fill="F2F2F2"/>
            <w:vAlign w:val="center"/>
          </w:tcPr>
          <w:p>
            <w:pPr>
              <w:spacing w:after="20"/>
            </w:pPr>
            <w:r/>
            <w:r>
              <w:rPr>
                <w:rFonts w:ascii="Liberation Sans" w:hAnsi="Liberation Sans"/>
                <w:b/>
                <w:sz w:val="17"/>
              </w:rPr>
              <w:t xml:space="preserve">Judge-ready differentiation — </w:t>
            </w:r>
            <w:r>
              <w:rPr>
                <w:rFonts w:ascii="Liberation Sans" w:hAnsi="Liberation Sans"/>
                <w:sz w:val="17"/>
              </w:rPr>
              <w:t>Most fraud systems ask whether the transaction or recipient is suspicious. Vyuha fuses that with the payer’s current agency context and actively breaks the attacker’s control loop before authorization. The technical novelty is the fusion and decision policy, not any single algorithm in isolation.</w:t>
            </w:r>
          </w:p>
        </w:tc>
      </w:tr>
    </w:tbl>
    <w:p>
      <w:pPr>
        <w:pStyle w:val="Tiny"/>
      </w:pPr>
    </w:p>
    <w:p>
      <w:pPr>
        <w:pStyle w:val="Heading2"/>
      </w:pPr>
      <w:r>
        <w:t>Release acceptance checklist</w:t>
      </w:r>
    </w:p>
    <w:p>
      <w:pPr>
        <w:pStyle w:val="Small"/>
        <w:ind w:left="215" w:hanging="125"/>
      </w:pPr>
      <w:r>
        <w:rPr>
          <w:b/>
        </w:rPr>
        <w:t xml:space="preserve">• </w:t>
      </w:r>
      <w:r>
        <w:t>No unsupported “zero” claims.</w:t>
      </w:r>
    </w:p>
    <w:p>
      <w:pPr>
        <w:pStyle w:val="Small"/>
        <w:ind w:left="215" w:hanging="125"/>
      </w:pPr>
      <w:r>
        <w:rPr>
          <w:b/>
        </w:rPr>
        <w:t xml:space="preserve">• </w:t>
      </w:r>
      <w:r>
        <w:t>MuleHunter comparison worded accurately.</w:t>
      </w:r>
    </w:p>
    <w:p>
      <w:pPr>
        <w:pStyle w:val="Small"/>
        <w:ind w:left="215" w:hanging="125"/>
      </w:pPr>
      <w:r>
        <w:rPr>
          <w:b/>
        </w:rPr>
        <w:t xml:space="preserve">• </w:t>
      </w:r>
      <w:r>
        <w:t>ST-GNN runs institution-side in architecture.</w:t>
      </w:r>
    </w:p>
    <w:p>
      <w:pPr>
        <w:pStyle w:val="Small"/>
        <w:ind w:left="215" w:hanging="125"/>
      </w:pPr>
      <w:r>
        <w:rPr>
          <w:b/>
        </w:rPr>
        <w:t xml:space="preserve">• </w:t>
      </w:r>
      <w:r>
        <w:t>No generic overlay dependency.</w:t>
      </w:r>
    </w:p>
    <w:p>
      <w:pPr>
        <w:pStyle w:val="Small"/>
        <w:ind w:left="215" w:hanging="125"/>
      </w:pPr>
      <w:r>
        <w:rPr>
          <w:b/>
        </w:rPr>
        <w:t xml:space="preserve">• </w:t>
      </w:r>
      <w:r>
        <w:t>Offline RL/bandit is frozen at runtime.</w:t>
      </w:r>
    </w:p>
    <w:p>
      <w:pPr>
        <w:pStyle w:val="Small"/>
        <w:ind w:left="215" w:hanging="125"/>
      </w:pPr>
      <w:r>
        <w:rPr>
          <w:b/>
        </w:rPr>
        <w:t xml:space="preserve">• </w:t>
      </w:r>
      <w:r>
        <w:t>Synthetic data clearly labelled.</w:t>
      </w:r>
    </w:p>
    <w:p>
      <w:pPr>
        <w:pStyle w:val="Small"/>
        <w:ind w:left="215" w:hanging="125"/>
      </w:pPr>
      <w:r>
        <w:rPr>
          <w:b/>
        </w:rPr>
        <w:t xml:space="preserve">• </w:t>
      </w:r>
      <w:r>
        <w:t>Every deep-tech module has a measurable interface and test.</w:t>
      </w:r>
    </w:p>
    <w:p>
      <w:r>
        <w:br w:type="page"/>
      </w:r>
    </w:p>
    <w:p>
      <w:pPr>
        <w:spacing w:after="0"/>
      </w:pPr>
      <w:r>
        <w:rPr>
          <w:b/>
          <w:sz w:val="15"/>
        </w:rPr>
        <w:t>REFERENCES</w:t>
      </w:r>
    </w:p>
    <w:p>
      <w:pPr>
        <w:pStyle w:val="Heading1"/>
      </w:pPr>
      <w:r>
        <w:t>Source Provenance and Research Bibliography</w:t>
      </w:r>
    </w:p>
    <w:p>
      <w:pPr>
        <w:pStyle w:val="Tiny"/>
        <w:spacing w:after="40"/>
        <w:ind w:left="113" w:hanging="113"/>
      </w:pPr>
      <w:r>
        <w:t>[1] ByteBuilt 1.0 Rule Book, attached competition document. Used for themes, flow, deliverables, originality rules and judging weights.</w:t>
      </w:r>
    </w:p>
    <w:p>
      <w:pPr>
        <w:pStyle w:val="Tiny"/>
        <w:spacing w:after="40"/>
        <w:ind w:left="113" w:hanging="113"/>
      </w:pPr>
      <w:r>
        <w:t>[2] The Syndicates — Vyuha Pitch Deck (ByteBuilt 1.0), attached. Used as source of submitted concept, team roles, original architecture claims and roadmap.</w:t>
      </w:r>
    </w:p>
    <w:p>
      <w:pPr>
        <w:pStyle w:val="Tiny"/>
        <w:spacing w:after="40"/>
        <w:ind w:left="113" w:hanging="113"/>
      </w:pPr>
      <w:r>
        <w:t>[3] “ByteBuilts 1.0 Script — Vyuha,” attached. Used for the user story and “fraud is in the hours before the transaction” framing.</w:t>
      </w:r>
    </w:p>
    <w:p>
      <w:pPr>
        <w:pStyle w:val="Tiny"/>
        <w:spacing w:after="40"/>
        <w:ind w:left="113" w:hanging="113"/>
      </w:pPr>
      <w:r>
        <w:t>[4] Vyuha Pitch Deck (legacy), attached. Used as historical concept reference.</w:t>
      </w:r>
    </w:p>
    <w:p>
      <w:pPr>
        <w:pStyle w:val="Tiny"/>
        <w:spacing w:after="40"/>
        <w:ind w:left="113" w:hanging="113"/>
      </w:pPr>
      <w:r>
        <w:t>[5] Reserve Bank of India, Annual Report 2024–25, section on RBIH MuleHunter.ai: supervised ML model for near-real-time mule account identification. https://www.rbi.org.in/scripts/AnnualReportPublications.aspx?Id=1436</w:t>
      </w:r>
    </w:p>
    <w:p>
      <w:pPr>
        <w:pStyle w:val="Tiny"/>
        <w:spacing w:after="40"/>
        <w:ind w:left="113" w:hanging="113"/>
      </w:pPr>
      <w:r>
        <w:t>[6] NPCI, UPI Frequently Asked Questions — TPAP onboarding through sponsor bank and merchant integration context. https://www.npci.org.in/what-we-do/upi/faqs</w:t>
      </w:r>
    </w:p>
    <w:p>
      <w:pPr>
        <w:pStyle w:val="Tiny"/>
        <w:spacing w:after="40"/>
        <w:ind w:left="113" w:hanging="113"/>
      </w:pPr>
      <w:r>
        <w:t>[7] Android Developers, Play Integrity API — integrity verdicts / app access risk. https://developer.android.com/google/play/integrity/verdicts</w:t>
      </w:r>
    </w:p>
    <w:p>
      <w:pPr>
        <w:pStyle w:val="Tiny"/>
        <w:spacing w:after="40"/>
        <w:ind w:left="113" w:hanging="113"/>
      </w:pPr>
      <w:r>
        <w:t>[8] Android Developers, Secure the Environment / Fraud Prevention — app access risk privacy and enforcement guidance. https://developer.android.com/security/fraud-prevention/environment</w:t>
      </w:r>
    </w:p>
    <w:p>
      <w:pPr>
        <w:pStyle w:val="Tiny"/>
        <w:spacing w:after="40"/>
        <w:ind w:left="113" w:hanging="113"/>
      </w:pPr>
      <w:r>
        <w:t>[9] Android Developers, Play Integrity remediation dialogs — closure of capture/control access risk. https://developer.android.com/google/play/integrity/remediation</w:t>
      </w:r>
    </w:p>
    <w:p>
      <w:pPr>
        <w:pStyle w:val="Tiny"/>
        <w:spacing w:after="40"/>
        <w:ind w:left="113" w:hanging="113"/>
      </w:pPr>
      <w:r>
        <w:t>[10] Android Developers, AudioManager API — MODE_IN_CALL and MODE_IN_COMMUNICATION. https://developer.android.com/reference/android/media/AudioManager</w:t>
      </w:r>
    </w:p>
    <w:p>
      <w:pPr>
        <w:pStyle w:val="Tiny"/>
        <w:spacing w:after="40"/>
        <w:ind w:left="113" w:hanging="113"/>
      </w:pPr>
      <w:r>
        <w:t>[11] Android Developers, UsageStatsManager API — usage access permission requirements. https://developer.android.com/reference/android/app/usage/UsageStatsManager</w:t>
      </w:r>
    </w:p>
    <w:p>
      <w:pPr>
        <w:pStyle w:val="Tiny"/>
        <w:spacing w:after="40"/>
        <w:ind w:left="113" w:hanging="113"/>
      </w:pPr>
      <w:r>
        <w:t>[12] Ministry of Electronics and Information Technology, Digital Personal Data Protection Act, 2023. https://www.meity.gov.in/static/uploads/2024/02/Digital-Personal-Data-Protection-Act-2023-1.pdf</w:t>
      </w:r>
    </w:p>
    <w:p>
      <w:pPr>
        <w:pStyle w:val="Tiny"/>
        <w:spacing w:after="40"/>
        <w:ind w:left="113" w:hanging="113"/>
      </w:pPr>
      <w:r>
        <w:t>[13] MeitY, Digital Personal Data Protection Rules, 2025 and enforcement materials. https://www.meity.gov.in/documents/act-and-policies/digital-personal-data-protection-rules-2025-gDOxUjMtQWa</w:t>
      </w:r>
    </w:p>
    <w:p>
      <w:pPr>
        <w:pStyle w:val="Tiny"/>
        <w:spacing w:after="40"/>
        <w:ind w:left="113" w:hanging="113"/>
      </w:pPr>
      <w:r>
        <w:t>[14] Press Information Bureau / Department of Telecommunications, Financial Fraud Risk Indicator prevents suspected cyber-fraud transactions of over ₹5,000 crore, 8 Sep 2026. https://www.pib.gov.in/PressReleasePage.aspx?PRID=2307871</w:t>
      </w:r>
    </w:p>
    <w:p>
      <w:pPr>
        <w:pStyle w:val="Tiny"/>
        <w:spacing w:after="40"/>
        <w:ind w:left="113" w:hanging="113"/>
      </w:pPr>
      <w:r>
        <w:t>[15] PIB / Ministry of Home Affairs, CFCFRMS statistics through 31 Dec 2025: &gt;₹8,189 crore saved; 2025 NCRP financial-fraud complaints/amount table. https://www.pib.gov.in/PressReleasePage.aspx?PRID=2226441</w:t>
      </w:r>
    </w:p>
    <w:p>
      <w:pPr>
        <w:pStyle w:val="Tiny"/>
        <w:spacing w:after="40"/>
        <w:ind w:left="113" w:hanging="113"/>
      </w:pPr>
      <w:r>
        <w:t>[16] PIB, “India recorded ₹22,495 crore in losses to cyber fraud in 2025,” 21 Aug 2026. https://www.pib.gov.in/PressReleasePage.aspx?PRID=2301973</w:t>
      </w:r>
    </w:p>
    <w:p>
      <w:pPr>
        <w:pStyle w:val="Tiny"/>
        <w:spacing w:after="40"/>
        <w:ind w:left="113" w:hanging="113"/>
      </w:pPr>
      <w:r>
        <w:t>[17] L. P. Kaelbling, M. L. Littman, A. R. Cassandra, “Planning and acting in partially observable stochastic domains,” Artificial Intelligence, 1998.</w:t>
      </w:r>
    </w:p>
    <w:p>
      <w:pPr>
        <w:pStyle w:val="Tiny"/>
        <w:spacing w:after="40"/>
        <w:ind w:left="113" w:hanging="113"/>
      </w:pPr>
      <w:r>
        <w:t>[18] N. Shazeer et al., “Outrageously Large Neural Networks: The Sparsely-Gated Mixture-of-Experts Layer,” ICLR, 2017.</w:t>
      </w:r>
    </w:p>
    <w:p>
      <w:pPr>
        <w:pStyle w:val="Tiny"/>
        <w:spacing w:after="40"/>
        <w:ind w:left="113" w:hanging="113"/>
      </w:pPr>
      <w:r>
        <w:t>[19] Z. Hu et al., “Heterogeneous Graph Transformer,” WWW, 2020, DOI 10.1145/3366423.3380027.</w:t>
      </w:r>
    </w:p>
    <w:p>
      <w:pPr>
        <w:pStyle w:val="Tiny"/>
        <w:spacing w:after="40"/>
        <w:ind w:left="113" w:hanging="113"/>
      </w:pPr>
      <w:r>
        <w:t>[20] E. Rossi et al., “Temporal Graph Networks for Deep Learning on Dynamic Graphs,” arXiv:2006.10637, 2020.</w:t>
      </w:r>
    </w:p>
    <w:p>
      <w:pPr>
        <w:pStyle w:val="Tiny"/>
        <w:spacing w:after="40"/>
        <w:ind w:left="113" w:hanging="113"/>
      </w:pPr>
      <w:r>
        <w:t>[21] D. Xu et al., “Inductive Representation Learning on Temporal Graphs (TGAT),” ICLR, 2020.</w:t>
      </w:r>
    </w:p>
    <w:p>
      <w:pPr>
        <w:pStyle w:val="Tiny"/>
        <w:spacing w:after="40"/>
        <w:ind w:left="113" w:hanging="113"/>
      </w:pPr>
      <w:r>
        <w:t>[22] Y. Dou et al., “Enhancing Graph Neural Network-based Fraud Detectors against Camouflaged Fraudsters (CARE-GNN),” CIKM, 2020.</w:t>
      </w:r>
    </w:p>
    <w:p>
      <w:pPr>
        <w:pStyle w:val="Tiny"/>
        <w:spacing w:after="40"/>
        <w:ind w:left="113" w:hanging="113"/>
      </w:pPr>
      <w:r>
        <w:t>[23] A. Kazerouni et al., “Conservative Contextual Linear Bandits,” NeurIPS, 2017.</w:t>
      </w:r>
    </w:p>
    <w:p>
      <w:pPr>
        <w:pStyle w:val="Tiny"/>
        <w:spacing w:after="40"/>
        <w:ind w:left="113" w:hanging="113"/>
      </w:pPr>
      <w:r>
        <w:t>[24] S. Levine et al., “Offline Reinforcement Learning: Tutorial, Review, and Perspectives on Open Problems,” arXiv:2005.01643, 2020.</w:t>
      </w:r>
    </w:p>
    <w:p>
      <w:pPr>
        <w:pStyle w:val="Tiny"/>
        <w:spacing w:after="40"/>
        <w:ind w:left="113" w:hanging="113"/>
      </w:pPr>
      <w:r>
        <w:t>[25] A. N. Angelopoulos and S. Bates, “A Gentle Introduction to Conformal Prediction and Distribution-Free Uncertainty Quantification,” 2022.</w:t>
      </w:r>
    </w:p>
    <w:p>
      <w:pPr>
        <w:pStyle w:val="Tiny"/>
        <w:spacing w:after="40"/>
        <w:ind w:left="113" w:hanging="113"/>
      </w:pPr>
      <w:r>
        <w:t>[26] B. McMahan et al., “Communication-Efficient Learning of Deep Networks from Decentralized Data,” AISTATS, 2017.</w:t>
      </w:r>
    </w:p>
    <w:p>
      <w:pPr>
        <w:pStyle w:val="Tiny"/>
        <w:spacing w:after="40"/>
        <w:ind w:left="113" w:hanging="113"/>
      </w:pPr>
      <w:r>
        <w:t>[27] PyTorch, ExecuTorch — on-device inference architecture and Android runtime. https://pytorch.org/projects/executorch/ and https://docs.pytorch.org/executorch/stable/using-executorch-android.html</w:t>
      </w:r>
    </w:p>
    <w:p>
      <w:pPr>
        <w:pStyle w:val="Tiny"/>
        <w:spacing w:after="40"/>
        <w:ind w:left="113" w:hanging="113"/>
      </w:pPr>
      <w:r>
        <w:t>[28] Google AI Edge, LiteRT NPU delegates — mobile inference acceleration context. https://ai.google.dev/edge/litert/android/npu</w:t>
      </w:r>
    </w:p>
    <w:tbl>
      <w:tblPr>
        <w:tblStyle w:val="TableGrid"/>
        <w:tblW w:type="auto" w:w="0"/>
        <w:jc w:val="center"/>
        <w:tblLook w:firstColumn="1" w:firstRow="1" w:lastColumn="0" w:lastRow="0" w:noHBand="0" w:noVBand="1" w:val="04A0"/>
      </w:tblPr>
      <w:tblGrid>
        <w:gridCol w:w="10376"/>
      </w:tblGrid>
      <w:tr>
        <w:trPr>
          <w:cantSplit/>
        </w:trPr>
        <w:tc>
          <w:tcPr>
            <w:tcW w:type="dxa" w:w="10376"/>
            <w:shd w:fill="F2F2F2"/>
            <w:vAlign w:val="center"/>
          </w:tcPr>
          <w:p>
            <w:pPr>
              <w:spacing w:after="20"/>
            </w:pPr>
            <w:r/>
            <w:r>
              <w:rPr>
                <w:rFonts w:ascii="Liberation Sans" w:hAnsi="Liberation Sans"/>
                <w:b/>
                <w:sz w:val="17"/>
              </w:rPr>
              <w:t xml:space="preserve">Evidence boundary — </w:t>
            </w:r>
            <w:r>
              <w:rPr>
                <w:rFonts w:ascii="Liberation Sans" w:hAnsi="Liberation Sans"/>
                <w:sz w:val="17"/>
              </w:rPr>
              <w:t>Research references justify design choices and platform feasibility; they do not establish that Vyuha has already achieved the proposed latency, recall, false-positive or fraud-prevention outcomes. Those claims require the evaluation program defined on pages 25–27.</w:t>
            </w:r>
          </w:p>
        </w:tc>
      </w:tr>
    </w:tbl>
    <w:p>
      <w:pPr>
        <w:pStyle w:val="Tiny"/>
      </w:pPr>
    </w:p>
    <w:p>
      <w:pPr>
        <w:pStyle w:val="Small"/>
        <w:jc w:val="center"/>
      </w:pPr>
      <w:r>
        <w:t>END OF CONTROLLED PRD • VYUHA 2.0</w:t>
      </w:r>
    </w:p>
    <w:sectPr w:rsidR="00FC693F" w:rsidRPr="0006063C" w:rsidSect="00034616">
      <w:headerReference w:type="default" r:id="rId9"/>
      <w:footerReference w:type="default" r:id="rId10"/>
      <w:pgSz w:w="11906" w:h="16838"/>
      <w:pgMar w:top="709" w:right="765" w:bottom="680" w:left="765" w:header="255" w:footer="25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4"/>
      </w:rPr>
      <w:t xml:space="preserve">The Syndicates • ByteBuilt 1.0 • Research-backed design specification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Liberation Sans" w:hAnsi="Liberation Sans"/>
        <w:b/>
        <w:sz w:val="14"/>
      </w:rPr>
      <w:t>VYUHA 2.0  |  PRODUCT REQUIREMENTS + TECHNICAL ARCHITECTURE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50" w:lineRule="auto"/>
    </w:pPr>
    <w:rPr>
      <w:rFonts w:ascii="Liberation Sans" w:hAnsi="Liberation San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60" w:after="100"/>
      <w:outlineLvl w:val="0"/>
    </w:pPr>
    <w:rPr>
      <w:rFonts w:asciiTheme="majorHAnsi" w:eastAsiaTheme="majorEastAsia" w:hAnsiTheme="majorHAnsi" w:cstheme="majorBidi" w:ascii="Liberation Sans" w:hAnsi="Liberation Sans"/>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60" w:after="100"/>
      <w:outlineLvl w:val="1"/>
    </w:pPr>
    <w:rPr>
      <w:rFonts w:asciiTheme="majorHAnsi" w:eastAsiaTheme="majorEastAsia" w:hAnsiTheme="majorHAnsi" w:cstheme="majorBidi" w:ascii="Liberation Sans" w:hAnsi="Liberation Sans"/>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60" w:after="100"/>
      <w:outlineLvl w:val="2"/>
    </w:pPr>
    <w:rPr>
      <w:rFonts w:asciiTheme="majorHAnsi" w:eastAsiaTheme="majorEastAsia" w:hAnsiTheme="majorHAnsi" w:cstheme="majorBidi" w:ascii="Liberation Sans" w:hAnsi="Liberation Sans"/>
      <w:b/>
      <w:bCs/>
      <w:color w:val="4F81BD" w:themeColor="accent1"/>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60"/>
      <w:contextualSpacing/>
    </w:pPr>
    <w:rPr>
      <w:rFonts w:asciiTheme="majorHAnsi" w:eastAsiaTheme="majorEastAsia" w:hAnsiTheme="majorHAnsi" w:cstheme="majorBidi" w:ascii="Liberation Sans" w:hAnsi="Liberation Sans"/>
      <w:b/>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40"/>
    </w:pPr>
    <w:rPr>
      <w:rFonts w:ascii="Liberation Sans" w:hAnsi="Liberation Sans"/>
      <w:b w:val="0"/>
      <w:bCs/>
      <w:i/>
      <w:color w:val="4F81BD" w:themeColor="accent1"/>
      <w:sz w:val="15"/>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pPr>
      <w:spacing w:after="40" w:line="240" w:lineRule="auto"/>
    </w:pPr>
    <w:rPr>
      <w:rFonts w:ascii="Liberation Sans" w:hAnsi="Liberation Sans"/>
      <w:b w:val="0"/>
      <w:sz w:val="16"/>
    </w:rPr>
  </w:style>
  <w:style w:type="paragraph" w:customStyle="1" w:styleId="Tiny">
    <w:name w:val="Tiny"/>
    <w:pPr>
      <w:spacing w:after="40" w:line="240" w:lineRule="auto"/>
    </w:pPr>
    <w:rPr>
      <w:rFonts w:ascii="Liberation Sans" w:hAnsi="Liberation Sans"/>
      <w:b w:val="0"/>
      <w:sz w:val="14"/>
    </w:rPr>
  </w:style>
  <w:style w:type="paragraph" w:customStyle="1" w:styleId="Callout">
    <w:name w:val="Callout"/>
    <w:pPr>
      <w:spacing w:after="40" w:line="240" w:lineRule="auto"/>
    </w:pPr>
    <w:rPr>
      <w:rFonts w:ascii="Liberation Sans" w:hAnsi="Liberation Sans"/>
      <w:b w:val="0"/>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Vyuha 2.0 — 30-Page PRD + Technical Architecture Specification</dc:title>
  <dc:subject>Agency Integrity Layer for coercion-driven digital payment fraud</dc:subject>
  <dc:creator>The Syndicates</dc:creator>
  <cp:keywords>Vyuha, ByteBuilt, Edge AI, ST-GNN, Mixture of Experts, Offline RL, Contextual Bandit, UPI Fraud, Agency Integrity</cp:keywords>
  <dc:description>generated by python-docx</dc:description>
  <cp:lastModifiedBy/>
  <cp:revision>1</cp:revision>
  <dcterms:created xsi:type="dcterms:W3CDTF">2013-12-23T23:15:00Z</dcterms:created>
  <dcterms:modified xsi:type="dcterms:W3CDTF">2013-12-23T23:15:00Z</dcterms:modified>
  <cp:category/>
</cp:coreProperties>
</file>