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Diagramas UML de AgeCare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Propósito y alcance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Los diagramas representan la consola administrativa definida por el contrato REST y el modelo canónico. Describen interacciones y límites lógicos; no afirman que la interfaz HTML estática ya consuma el backend ni que todos los componentes productivos estén desplegados.</w:t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Casos de uso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Los perfiles se sintetizan desde la matriz de permisos de la especificación. Admin tiene alcance transversal; analista consulta; soporte atiende tickets y participa en operación. Editor y moderador aparecen como roles de dominio para las operaciones de contenido y moderación aunque no se muestran como actores independientes en este recorte.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217920" cy="35234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2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Casos de uso principales por rol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Secuencia de login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tenant debe resolverse antes de buscar el email, ya que la clave de staff es única por tenant y el contrato de login solo aporta email/contraseña. La implementación debe validar MFA según política, emitir tokens y registrar la decisión. El refresh se rota según la especificación.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217920" cy="373075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Interacción de autenticación. El canal y las políticas de red se definen en despliegue.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Componentes lógicos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Los routers presentan contratos REST y derivan a dependencias de autorización y servicios. Los esquemas </w:t>
      </w:r>
      <w:r w:rsidDel="00000000" w:rsidR="00000000" w:rsidRPr="00000000">
        <w:rPr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validan entrada/salida. La persistencia accede a PostgreSQL y los 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0"/>
        </w:rPr>
        <w:t xml:space="preserve"> escriben agregados y estado operativo.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217920" cy="306750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6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i w:val="1"/>
          <w:iCs w:val="1"/>
          <w:color w:val="5b6573"/>
          <w:sz w:val="16"/>
          <w:szCs w:val="16"/>
          <w:rtl w:val="0"/>
        </w:rPr>
        <w:t xml:space="preserve">Componentes backend y dependencias.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Lectura y convenciones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02833"/>
          <w:sz w:val="20"/>
          <w:szCs w:val="20"/>
          <w:u w:val="none"/>
          <w:shd w:fill="auto" w:val="clear"/>
          <w:vertAlign w:val="baseline"/>
          <w:rtl w:val="0"/>
        </w:rPr>
        <w:t xml:space="preserve">Los diagramas son vistas UML simplificadas orientadas a comunicar roles y responsabilidades.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02833"/>
          <w:sz w:val="20"/>
          <w:szCs w:val="20"/>
          <w:u w:val="none"/>
          <w:shd w:fill="auto" w:val="clear"/>
          <w:vertAlign w:val="baseline"/>
          <w:rtl w:val="0"/>
        </w:rPr>
        <w:t xml:space="preserve">Las líneas muestran asociación o dependencia; no detallan protocolos de red, reintentos ni transacciones completas.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02833"/>
          <w:sz w:val="20"/>
          <w:szCs w:val="20"/>
          <w:u w:val="none"/>
          <w:shd w:fill="auto" w:val="clear"/>
          <w:vertAlign w:val="baseline"/>
          <w:rtl w:val="0"/>
        </w:rPr>
        <w:t xml:space="preserve">La persistencia y reglas de seguridad del modelo canónico prevalecen sobre las clases ORM del prototipo.</w:t>
      </w:r>
    </w:p>
    <w:sectPr>
      <w:footerReference r:id="rId10" w:type="default"/>
      <w:pgSz w:h="15840" w:w="12240" w:orient="portrait"/>
      <w:pgMar w:bottom="936" w:top="979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02833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02833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000000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before="240" w:line="240" w:lineRule="auto"/>
    </w:pPr>
    <w:rPr>
      <w:rFonts w:ascii="Play" w:cs="Play" w:eastAsia="Play" w:hAnsi="Play"/>
      <w:b w:val="1"/>
      <w:bCs w:val="1"/>
      <w:color w:val="000000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/d4y7JWPib3GiTcpgn6SwEz6Lg==">CgMxLjA4AHIhMVduSHA1aXJETTN6bWRObmwzYmN5SXVCVTZrNldjQ3pi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