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22222"/>
          <w:sz w:val="30"/>
          <w:szCs w:val="30"/>
        </w:rPr>
        <w:t xml:space="preserve">TEAM-Aligned Lesson Plan</w:t>
      </w:r>
    </w:p>
    <w:p>
      <w:pPr>
        <w:pBdr>
          <w:bottom w:val="single" w:color="1F3A5F" w:sz="12" w:space="6"/>
        </w:pBdr>
        <w:spacing w:after="160"/>
      </w:pPr>
      <w:r>
        <w:rPr>
          <w:color w:val="555555"/>
          <w:sz w:val="18"/>
          <w:szCs w:val="18"/>
        </w:rPr>
        <w:t xml:space="preserve">U.S. History (Grades 9–12) · Franklin High School · Williamson County Schools</w:t>
      </w:r>
    </w:p>
    <w:p>
      <w:pPr>
        <w:spacing w:after="40"/>
      </w:pPr>
      <w:r>
        <w:rPr>
          <w:b/>
          <w:bCs/>
          <w:color w:val="1F3A5F"/>
          <w:sz w:val="18"/>
          <w:szCs w:val="18"/>
        </w:rPr>
        <w:t xml:space="preserve">Standard:  </w:t>
      </w:r>
      <w:r>
        <w:rPr>
          <w:color w:val="222222"/>
          <w:sz w:val="18"/>
          <w:szCs w:val="18"/>
        </w:rPr>
        <w:t xml:space="preserve">US.04 — Gilded Age Politics and Economics</w:t>
      </w:r>
    </w:p>
    <w:p>
      <w:pPr>
        <w:spacing w:after="40"/>
      </w:pPr>
      <w:r>
        <w:rPr>
          <w:b/>
          <w:bCs/>
          <w:color w:val="1F3A5F"/>
          <w:sz w:val="18"/>
          <w:szCs w:val="18"/>
        </w:rPr>
        <w:t xml:space="preserve">Schedule:  </w:t>
      </w:r>
      <w:r>
        <w:rPr>
          <w:color w:val="222222"/>
          <w:sz w:val="18"/>
          <w:szCs w:val="18"/>
        </w:rPr>
        <w:t xml:space="preserve">Regular block — 47 minutes   ·   Date: ______________   ·   Teacher: ______________</w:t>
      </w:r>
    </w:p>
    <w:p>
      <w:pPr>
        <w:spacing w:after="120"/>
      </w:pPr>
      <w:r>
        <w:rPr>
          <w:b/>
          <w:bCs/>
          <w:color w:val="1F3A5F"/>
          <w:sz w:val="17"/>
          <w:szCs w:val="17"/>
        </w:rPr>
        <w:t xml:space="preserve">TN Standard (full text): </w:t>
      </w:r>
      <w:r>
        <w:rPr>
          <w:i/>
          <w:iCs/>
          <w:sz w:val="17"/>
          <w:szCs w:val="17"/>
        </w:rPr>
        <w:t xml:space="preserve">Analyze the causes and consequences of Gilded Age politics and economics as well as the significance of the rise of political machines, major scandals, civil service reform, and the economic difference between farmers, wage earners, and industrial capitalists, including: Boss Tweed, Thomas Nast, Credit Mobilier, Spoils system and President James A. Garfield's assassination, Pendleton Act, Interstate Commerce Act.</w:t>
      </w:r>
    </w:p>
    <w:p>
      <w:pPr>
        <w:pBdr>
          <w:bottom w:val="single" w:color="C9D3DD" w:sz="4" w:space="4"/>
        </w:pBdr>
        <w:spacing w:after="90" w:before="220"/>
      </w:pPr>
      <w:r>
        <w:rPr>
          <w:b/>
          <w:bCs/>
          <w:color w:val="1F3A5F"/>
          <w:sz w:val="22"/>
          <w:szCs w:val="22"/>
        </w:rPr>
        <w:t xml:space="preserve">1 · Standards &amp; Objectives</w:t>
      </w:r>
    </w:p>
    <w:p>
      <w:pPr>
        <w:spacing w:after="120" w:line="264"/>
      </w:pPr>
      <w:r>
        <w:rPr>
          <w:b/>
          <w:bCs/>
          <w:sz w:val="18"/>
          <w:szCs w:val="18"/>
        </w:rPr>
        <w:t xml:space="preserve">Learning objective (I-CAN): </w:t>
      </w:r>
      <w:r>
        <w:rPr>
          <w:sz w:val="18"/>
          <w:szCs w:val="18"/>
        </w:rPr>
        <w:t xml:space="preserve">“I can analyze the causes and consequences of Gilded Age politics and economics, including political machines, major scandals, civil service reform, and economic differences between farmers, wage earners, and industrial capitalists.”</w:t>
      </w:r>
    </w:p>
    <w:p>
      <w:pPr>
        <w:spacing w:after="60"/>
      </w:pPr>
      <w:r>
        <w:rPr>
          <w:b/>
          <w:bCs/>
          <w:sz w:val="18"/>
          <w:szCs w:val="18"/>
        </w:rPr>
        <w:t xml:space="preserve">Sub-objectives (sequenced from the standard's criteria):</w:t>
      </w:r>
    </w:p>
    <w:p>
      <w:pPr>
        <w:pStyle w:val="ListParagraph"/>
        <w:numPr>
          <w:ilvl w:val="0"/>
          <w:numId w:val="2"/>
        </w:numPr>
        <w:spacing w:after="70" w:line="258"/>
      </w:pPr>
      <w:r>
        <w:rPr>
          <w:sz w:val="17"/>
          <w:szCs w:val="17"/>
        </w:rPr>
        <w:t xml:space="preserve">Political Machines and Boss Tweed.</w:t>
      </w:r>
    </w:p>
    <w:p>
      <w:pPr>
        <w:pStyle w:val="ListParagraph"/>
        <w:numPr>
          <w:ilvl w:val="0"/>
          <w:numId w:val="2"/>
        </w:numPr>
        <w:spacing w:after="70" w:line="258"/>
      </w:pPr>
      <w:r>
        <w:rPr>
          <w:sz w:val="17"/>
          <w:szCs w:val="17"/>
        </w:rPr>
        <w:t xml:space="preserve">Major Scandals and the Spoils System.</w:t>
      </w:r>
    </w:p>
    <w:p>
      <w:pPr>
        <w:pStyle w:val="ListParagraph"/>
        <w:numPr>
          <w:ilvl w:val="0"/>
          <w:numId w:val="2"/>
        </w:numPr>
        <w:spacing w:after="70" w:line="258"/>
      </w:pPr>
      <w:r>
        <w:rPr>
          <w:sz w:val="17"/>
          <w:szCs w:val="17"/>
        </w:rPr>
        <w:t xml:space="preserve">Civil Service Reform.</w:t>
      </w:r>
    </w:p>
    <w:p>
      <w:pPr>
        <w:spacing w:after="120" w:line="264"/>
      </w:pPr>
      <w:r>
        <w:rPr>
          <w:b/>
          <w:bCs/>
          <w:color w:val="1F3A5F"/>
          <w:sz w:val="17"/>
          <w:szCs w:val="17"/>
        </w:rPr>
        <w:t xml:space="preserve">Connection to prior learning: </w:t>
      </w:r>
      <w:r>
        <w:rPr>
          <w:sz w:val="17"/>
          <w:szCs w:val="17"/>
        </w:rPr>
        <w:t xml:space="preserve">Builds on US.03 (Compromise of 1877, Jim Crow &amp; Plessy v. Ferguson) — students carry yesterday's understanding into today's standard.</w:t>
      </w:r>
    </w:p>
    <w:p>
      <w:pPr>
        <w:spacing w:after="120" w:line="264"/>
      </w:pPr>
      <w:r>
        <w:rPr>
          <w:b/>
          <w:bCs/>
          <w:color w:val="7A1F2B"/>
          <w:sz w:val="17"/>
          <w:szCs w:val="17"/>
        </w:rPr>
        <w:t xml:space="preserve">Tennessee connection: </w:t>
      </w:r>
      <w:r>
        <w:rPr>
          <w:sz w:val="17"/>
          <w:szCs w:val="17"/>
        </w:rPr>
        <w:t xml:space="preserve">Tennessee politics during the Gilded Age reflected national patterns of corruption and reform. Memphis boss Edward Hull Crump built one of the South's most powerful political machines, dominating Memphis and Shelby County politics from the early 1900s through the 1950s.</w:t>
      </w:r>
    </w:p>
    <w:p>
      <w:pPr>
        <w:pBdr>
          <w:bottom w:val="single" w:color="C9D3DD" w:sz="4" w:space="4"/>
        </w:pBdr>
        <w:spacing w:after="90" w:before="220"/>
      </w:pPr>
      <w:r>
        <w:rPr>
          <w:b/>
          <w:bCs/>
          <w:color w:val="1F3A5F"/>
          <w:sz w:val="22"/>
          <w:szCs w:val="22"/>
        </w:rPr>
        <w:t xml:space="preserve">2 · Assessment &amp; Evidence of Mastery</w:t>
      </w:r>
    </w:p>
    <w:p>
      <w:pPr>
        <w:spacing w:after="60"/>
      </w:pPr>
      <w:r>
        <w:rPr>
          <w:b/>
          <w:bCs/>
          <w:sz w:val="17"/>
          <w:szCs w:val="17"/>
        </w:rPr>
        <w:t xml:space="preserve">Measured in multiple ways (TEAM: 3+ measures with clear criteria):</w:t>
      </w:r>
    </w:p>
    <w:p>
      <w:pPr>
        <w:pStyle w:val="ListParagraph"/>
        <w:numPr>
          <w:ilvl w:val="0"/>
          <w:numId w:val="2"/>
        </w:numPr>
        <w:spacing w:after="70" w:line="258"/>
      </w:pPr>
      <w:r>
        <w:rPr>
          <w:b/>
          <w:bCs/>
          <w:sz w:val="17"/>
          <w:szCs w:val="17"/>
        </w:rPr>
        <w:t xml:space="preserve">Selected-response + short constructed: </w:t>
      </w:r>
      <w:r>
        <w:rPr>
          <w:sz w:val="17"/>
          <w:szCs w:val="17"/>
        </w:rPr>
        <w:t xml:space="preserve">US.04 Formative Assessment (with teacher answer key).</w:t>
      </w:r>
    </w:p>
    <w:p>
      <w:pPr>
        <w:pStyle w:val="ListParagraph"/>
        <w:numPr>
          <w:ilvl w:val="0"/>
          <w:numId w:val="2"/>
        </w:numPr>
        <w:spacing w:after="70" w:line="258"/>
      </w:pPr>
      <w:r>
        <w:rPr>
          <w:b/>
          <w:bCs/>
          <w:sz w:val="17"/>
          <w:szCs w:val="17"/>
        </w:rPr>
        <w:t xml:space="preserve">Extended writing: </w:t>
      </w:r>
      <w:r>
        <w:rPr>
          <w:sz w:val="17"/>
          <w:szCs w:val="17"/>
        </w:rPr>
        <w:t xml:space="preserve">CER organizer — claim, evidence, reasoning on the Gilded Age Politics and Economics.</w:t>
      </w:r>
    </w:p>
    <w:p>
      <w:pPr>
        <w:pStyle w:val="ListParagraph"/>
        <w:numPr>
          <w:ilvl w:val="0"/>
          <w:numId w:val="2"/>
        </w:numPr>
        <w:spacing w:after="70" w:line="258"/>
      </w:pPr>
      <w:r>
        <w:rPr>
          <w:b/>
          <w:bCs/>
          <w:sz w:val="17"/>
          <w:szCs w:val="17"/>
        </w:rPr>
        <w:t xml:space="preserve">Primary-source analysis: </w:t>
      </w:r>
      <w:r>
        <w:rPr>
          <w:sz w:val="17"/>
          <w:szCs w:val="17"/>
        </w:rPr>
        <w:t xml:space="preserve">HIPP organizer on “Pendleton Civil Service Reform Act” (U.S. Congress, January 16, 1883).</w:t>
      </w:r>
    </w:p>
    <w:p>
      <w:pPr>
        <w:pStyle w:val="ListParagraph"/>
        <w:numPr>
          <w:ilvl w:val="0"/>
          <w:numId w:val="2"/>
        </w:numPr>
        <w:spacing w:after="70" w:line="258"/>
      </w:pPr>
      <w:r>
        <w:rPr>
          <w:b/>
          <w:bCs/>
          <w:sz w:val="17"/>
          <w:szCs w:val="17"/>
        </w:rPr>
        <w:t xml:space="preserve">Exit ticket (EN + ES): </w:t>
      </w:r>
      <w:r>
        <w:rPr>
          <w:sz w:val="17"/>
          <w:szCs w:val="17"/>
        </w:rPr>
        <w:t xml:space="preserve">2-question check for understanding, bilingual.</w:t>
      </w:r>
    </w:p>
    <w:p>
      <w:pPr>
        <w:spacing w:after="120" w:line="264"/>
      </w:pPr>
      <w:r>
        <w:rPr>
          <w:b/>
          <w:bCs/>
          <w:color w:val="1F3A5F"/>
          <w:sz w:val="17"/>
          <w:szCs w:val="17"/>
        </w:rPr>
        <w:t xml:space="preserve">Success criteria: </w:t>
      </w:r>
      <w:r>
        <w:rPr>
          <w:sz w:val="17"/>
          <w:szCs w:val="17"/>
        </w:rPr>
        <w:t xml:space="preserve">Student cites at least two specific pieces of evidence and can analyze the causes and consequences of Gilded Age politics and economics, including political machines, major scandals, civil service reform, and economic differences between farmers, wage earners, and industrial capitalists.</w:t>
      </w:r>
    </w:p>
    <w:p>
      <w:pPr>
        <w:pBdr>
          <w:bottom w:val="single" w:color="C9D3DD" w:sz="4" w:space="4"/>
        </w:pBdr>
        <w:spacing w:after="90" w:before="220"/>
      </w:pPr>
      <w:r>
        <w:rPr>
          <w:b/>
          <w:bCs/>
          <w:color w:val="1F3A5F"/>
          <w:sz w:val="22"/>
          <w:szCs w:val="22"/>
        </w:rPr>
        <w:t xml:space="preserve">3 · Lesson Structure &amp; Pacing (47-minute Regular block)</w:t>
      </w:r>
    </w:p>
    <w:tbl>
      <w:tblPr>
        <w:tblW w:type="dxa" w:w="9360"/>
        <w:tblBorders>
          <w:top w:val="single" w:color="C9D3DD" w:sz="4"/>
          <w:left w:val="single" w:color="C9D3DD" w:sz="4"/>
          <w:bottom w:val="single" w:color="C9D3DD" w:sz="4"/>
          <w:right w:val="single" w:color="C9D3DD" w:sz="4"/>
          <w:insideH w:val="single" w:color="C9D3DD" w:sz="4"/>
          <w:insideV w:val="single" w:color="C9D3DD" w:sz="4"/>
        </w:tblBorders>
      </w:tblPr>
      <w:tblGrid>
        <w:gridCol w:w="1300"/>
        <w:gridCol w:w="4700"/>
        <w:gridCol w:w="3360"/>
      </w:tblGrid>
      <w:tr>
        <w:trPr>
          <w:tblHeader/>
        </w:trPr>
        <w:tc>
          <w:tcPr>
            <w:tcW w:type="dxa" w:w="1300"/>
            <w:shd w:fill="1F3A5F" w:color="auto" w:val="clear"/>
            <w:tcMar>
              <w:top w:type="dxa" w:w="60"/>
              <w:left w:type="dxa" w:w="100"/>
              <w:bottom w:type="dxa" w:w="60"/>
              <w:right w:type="dxa" w:w="100"/>
            </w:tcMar>
          </w:tcPr>
          <w:p>
            <w:r>
              <w:rPr>
                <w:b/>
                <w:bCs/>
                <w:color w:val="FFFFFF"/>
                <w:sz w:val="17"/>
                <w:szCs w:val="17"/>
              </w:rPr>
              <w:t xml:space="preserve">Min</w:t>
            </w:r>
          </w:p>
        </w:tc>
        <w:tc>
          <w:tcPr>
            <w:tcW w:type="dxa" w:w="4700"/>
            <w:shd w:fill="1F3A5F" w:color="auto" w:val="clear"/>
            <w:tcMar>
              <w:top w:type="dxa" w:w="60"/>
              <w:left w:type="dxa" w:w="100"/>
              <w:bottom w:type="dxa" w:w="60"/>
              <w:right w:type="dxa" w:w="100"/>
            </w:tcMar>
          </w:tcPr>
          <w:p>
            <w:r>
              <w:rPr>
                <w:b/>
                <w:bCs/>
                <w:color w:val="FFFFFF"/>
                <w:sz w:val="17"/>
                <w:szCs w:val="17"/>
              </w:rPr>
              <w:t xml:space="preserve">Segment &amp; what happens</w:t>
            </w:r>
          </w:p>
        </w:tc>
        <w:tc>
          <w:tcPr>
            <w:tcW w:type="dxa" w:w="3360"/>
            <w:shd w:fill="1F3A5F" w:color="auto" w:val="clear"/>
            <w:tcMar>
              <w:top w:type="dxa" w:w="60"/>
              <w:left w:type="dxa" w:w="100"/>
              <w:bottom w:type="dxa" w:w="60"/>
              <w:right w:type="dxa" w:w="100"/>
            </w:tcMar>
          </w:tcPr>
          <w:p>
            <w:r>
              <w:rPr>
                <w:b/>
                <w:bCs/>
                <w:color w:val="FFFFFF"/>
                <w:sz w:val="17"/>
                <w:szCs w:val="17"/>
              </w:rPr>
              <w:t xml:space="preserve">Material</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FFFFFF" w:color="auto" w:val="clear"/>
            <w:tcMar>
              <w:top w:type="dxa" w:w="60"/>
              <w:left w:type="dxa" w:w="100"/>
              <w:bottom w:type="dxa" w:w="60"/>
              <w:right w:type="dxa" w:w="100"/>
            </w:tcMar>
          </w:tcPr>
          <w:p>
            <w:r>
              <w:rPr>
                <w:sz w:val="16"/>
                <w:szCs w:val="16"/>
              </w:rPr>
              <w:t xml:space="preserve">Warm-Up / Bell-Ringer — recall Compromise of 1877, Jim Crow &amp; Plessy v. Ferguson (US.03); frame today's question</w:t>
            </w:r>
          </w:p>
        </w:tc>
        <w:tc>
          <w:tcPr>
            <w:tcW w:type="dxa" w:w="3360"/>
            <w:shd w:fill="FFFFFF" w:color="auto" w:val="clear"/>
            <w:tcMar>
              <w:top w:type="dxa" w:w="60"/>
              <w:left w:type="dxa" w:w="100"/>
              <w:bottom w:type="dxa" w:w="60"/>
              <w:right w:type="dxa" w:w="100"/>
            </w:tcMar>
          </w:tcPr>
          <w:p>
            <w:r>
              <w:rPr>
                <w:sz w:val="16"/>
                <w:szCs w:val="16"/>
              </w:rPr>
              <w:t xml:space="preserve">Word Bank / Do-Now</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4</w:t>
            </w:r>
          </w:p>
        </w:tc>
        <w:tc>
          <w:tcPr>
            <w:tcW w:type="dxa" w:w="4700"/>
            <w:shd w:fill="EEF2F6" w:color="auto" w:val="clear"/>
            <w:tcMar>
              <w:top w:type="dxa" w:w="60"/>
              <w:left w:type="dxa" w:w="100"/>
              <w:bottom w:type="dxa" w:w="60"/>
              <w:right w:type="dxa" w:w="100"/>
            </w:tcMar>
          </w:tcPr>
          <w:p>
            <w:r>
              <w:rPr>
                <w:sz w:val="16"/>
                <w:szCs w:val="16"/>
              </w:rPr>
              <w:t xml:space="preserve">Hook — Tennessee politics during the Gilded Age reflected national patterns of corruption and reform: Who gained, who was left out — and why does it still matter?</w:t>
            </w:r>
          </w:p>
        </w:tc>
        <w:tc>
          <w:tcPr>
            <w:tcW w:type="dxa" w:w="3360"/>
            <w:shd w:fill="EEF2F6" w:color="auto" w:val="clear"/>
            <w:tcMar>
              <w:top w:type="dxa" w:w="60"/>
              <w:left w:type="dxa" w:w="100"/>
              <w:bottom w:type="dxa" w:w="60"/>
              <w:right w:type="dxa" w:w="100"/>
            </w:tcMar>
          </w:tcPr>
          <w:p>
            <w:r>
              <w:rPr>
                <w:sz w:val="16"/>
                <w:szCs w:val="16"/>
              </w:rPr>
              <w:t xml:space="preserve">Teacher Deck</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12</w:t>
            </w:r>
          </w:p>
        </w:tc>
        <w:tc>
          <w:tcPr>
            <w:tcW w:type="dxa" w:w="4700"/>
            <w:shd w:fill="FFFFFF" w:color="auto" w:val="clear"/>
            <w:tcMar>
              <w:top w:type="dxa" w:w="60"/>
              <w:left w:type="dxa" w:w="100"/>
              <w:bottom w:type="dxa" w:w="60"/>
              <w:right w:type="dxa" w:w="100"/>
            </w:tcMar>
          </w:tcPr>
          <w:p>
            <w:r>
              <w:rPr>
                <w:sz w:val="16"/>
                <w:szCs w:val="16"/>
              </w:rPr>
              <w:t xml:space="preserve">Direct Instruction — teacher models close reading of the core content; students capture Cornell Notes</w:t>
            </w:r>
          </w:p>
        </w:tc>
        <w:tc>
          <w:tcPr>
            <w:tcW w:type="dxa" w:w="3360"/>
            <w:shd w:fill="FFFFFF" w:color="auto" w:val="clear"/>
            <w:tcMar>
              <w:top w:type="dxa" w:w="60"/>
              <w:left w:type="dxa" w:w="100"/>
              <w:bottom w:type="dxa" w:w="60"/>
              <w:right w:type="dxa" w:w="100"/>
            </w:tcMar>
          </w:tcPr>
          <w:p>
            <w:r>
              <w:rPr>
                <w:sz w:val="16"/>
                <w:szCs w:val="16"/>
              </w:rPr>
              <w:t xml:space="preserve">Teacher Deck + Cornell Notes</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10</w:t>
            </w:r>
          </w:p>
        </w:tc>
        <w:tc>
          <w:tcPr>
            <w:tcW w:type="dxa" w:w="4700"/>
            <w:shd w:fill="EEF2F6" w:color="auto" w:val="clear"/>
            <w:tcMar>
              <w:top w:type="dxa" w:w="60"/>
              <w:left w:type="dxa" w:w="100"/>
              <w:bottom w:type="dxa" w:w="60"/>
              <w:right w:type="dxa" w:w="100"/>
            </w:tcMar>
          </w:tcPr>
          <w:p>
            <w:r>
              <w:rPr>
                <w:sz w:val="16"/>
                <w:szCs w:val="16"/>
              </w:rPr>
              <w:t xml:space="preserve">Guided Practice — Cornell Notes + a comparison/analysis organizer</w:t>
            </w:r>
          </w:p>
        </w:tc>
        <w:tc>
          <w:tcPr>
            <w:tcW w:type="dxa" w:w="3360"/>
            <w:shd w:fill="EEF2F6" w:color="auto" w:val="clear"/>
            <w:tcMar>
              <w:top w:type="dxa" w:w="60"/>
              <w:left w:type="dxa" w:w="100"/>
              <w:bottom w:type="dxa" w:w="60"/>
              <w:right w:type="dxa" w:w="100"/>
            </w:tcMar>
          </w:tcPr>
          <w:p>
            <w:r>
              <w:rPr>
                <w:sz w:val="16"/>
                <w:szCs w:val="16"/>
              </w:rPr>
              <w:t xml:space="preserve">Cornell Notes · organizer</w:t>
            </w:r>
          </w:p>
        </w:tc>
      </w:tr>
      <w:tr>
        <w:tc>
          <w:tcPr>
            <w:tcW w:type="dxa" w:w="1300"/>
            <w:shd w:fill="FFFFFF" w:color="auto" w:val="clear"/>
            <w:tcMar>
              <w:top w:type="dxa" w:w="60"/>
              <w:left w:type="dxa" w:w="100"/>
              <w:bottom w:type="dxa" w:w="60"/>
              <w:right w:type="dxa" w:w="100"/>
            </w:tcMar>
          </w:tcPr>
          <w:p>
            <w:r>
              <w:rPr>
                <w:b w:val="false"/>
                <w:bCs w:val="false"/>
                <w:color w:val="222222"/>
                <w:sz w:val="17"/>
                <w:szCs w:val="17"/>
              </w:rPr>
              <w:t xml:space="preserve">11</w:t>
            </w:r>
          </w:p>
        </w:tc>
        <w:tc>
          <w:tcPr>
            <w:tcW w:type="dxa" w:w="4700"/>
            <w:shd w:fill="FFFFFF" w:color="auto" w:val="clear"/>
            <w:tcMar>
              <w:top w:type="dxa" w:w="60"/>
              <w:left w:type="dxa" w:w="100"/>
              <w:bottom w:type="dxa" w:w="60"/>
              <w:right w:type="dxa" w:w="100"/>
            </w:tcMar>
          </w:tcPr>
          <w:p>
            <w:r>
              <w:rPr>
                <w:sz w:val="16"/>
                <w:szCs w:val="16"/>
              </w:rPr>
              <w:t xml:space="preserve">Primary Source / HIPP — analyze the source; begin CER</w:t>
            </w:r>
          </w:p>
        </w:tc>
        <w:tc>
          <w:tcPr>
            <w:tcW w:type="dxa" w:w="3360"/>
            <w:shd w:fill="FFFFFF" w:color="auto" w:val="clear"/>
            <w:tcMar>
              <w:top w:type="dxa" w:w="60"/>
              <w:left w:type="dxa" w:w="100"/>
              <w:bottom w:type="dxa" w:w="60"/>
              <w:right w:type="dxa" w:w="100"/>
            </w:tcMar>
          </w:tcPr>
          <w:p>
            <w:r>
              <w:rPr>
                <w:sz w:val="16"/>
                <w:szCs w:val="16"/>
              </w:rPr>
              <w:t xml:space="preserve">Primary-Source Packet · HIPP · CER organizer</w:t>
            </w:r>
          </w:p>
        </w:tc>
      </w:tr>
      <w:tr>
        <w:tc>
          <w:tcPr>
            <w:tcW w:type="dxa" w:w="1300"/>
            <w:shd w:fill="EEF2F6" w:color="auto" w:val="clear"/>
            <w:tcMar>
              <w:top w:type="dxa" w:w="60"/>
              <w:left w:type="dxa" w:w="100"/>
              <w:bottom w:type="dxa" w:w="60"/>
              <w:right w:type="dxa" w:w="100"/>
            </w:tcMar>
          </w:tcPr>
          <w:p>
            <w:r>
              <w:rPr>
                <w:b w:val="false"/>
                <w:bCs w:val="false"/>
                <w:color w:val="222222"/>
                <w:sz w:val="17"/>
                <w:szCs w:val="17"/>
              </w:rPr>
              <w:t xml:space="preserve">5</w:t>
            </w:r>
          </w:p>
        </w:tc>
        <w:tc>
          <w:tcPr>
            <w:tcW w:type="dxa" w:w="4700"/>
            <w:shd w:fill="EEF2F6" w:color="auto" w:val="clear"/>
            <w:tcMar>
              <w:top w:type="dxa" w:w="60"/>
              <w:left w:type="dxa" w:w="100"/>
              <w:bottom w:type="dxa" w:w="60"/>
              <w:right w:type="dxa" w:w="100"/>
            </w:tcMar>
          </w:tcPr>
          <w:p>
            <w:r>
              <w:rPr>
                <w:sz w:val="16"/>
                <w:szCs w:val="16"/>
              </w:rPr>
              <w:t xml:space="preserve">Exit Ticket &amp; Closure — 2-question check; preview US.05</w:t>
            </w:r>
          </w:p>
        </w:tc>
        <w:tc>
          <w:tcPr>
            <w:tcW w:type="dxa" w:w="3360"/>
            <w:shd w:fill="EEF2F6" w:color="auto" w:val="clear"/>
            <w:tcMar>
              <w:top w:type="dxa" w:w="60"/>
              <w:left w:type="dxa" w:w="100"/>
              <w:bottom w:type="dxa" w:w="60"/>
              <w:right w:type="dxa" w:w="100"/>
            </w:tcMar>
          </w:tcPr>
          <w:p>
            <w:r>
              <w:rPr>
                <w:sz w:val="16"/>
                <w:szCs w:val="16"/>
              </w:rPr>
              <w:t xml:space="preserve">Exit Ticket (EN/ES)</w:t>
            </w:r>
          </w:p>
        </w:tc>
      </w:tr>
    </w:tbl>
    <w:p>
      <w:pPr>
        <w:spacing w:before="40"/>
      </w:pPr>
      <w:r>
        <w:rPr>
          <w:i/>
          <w:iCs/>
          <w:color w:val="555555"/>
          <w:sz w:val="15"/>
          <w:szCs w:val="15"/>
        </w:rPr>
        <w:t xml:space="preserve">Total: 47 minutes (segments sum-verified to the block length; auto-adjusts to 43-min Activities or 41-min Late-Start).</w:t>
      </w:r>
    </w:p>
    <w:p>
      <w:pPr>
        <w:pBdr>
          <w:bottom w:val="single" w:color="C9D3DD" w:sz="4" w:space="4"/>
        </w:pBdr>
        <w:spacing w:after="90" w:before="220"/>
      </w:pPr>
      <w:r>
        <w:rPr>
          <w:b/>
          <w:bCs/>
          <w:color w:val="1F3A5F"/>
          <w:sz w:val="22"/>
          <w:szCs w:val="22"/>
        </w:rPr>
        <w:t xml:space="preserve">4 · Activities &amp; Materials (teacher-selected)</w:t>
      </w:r>
    </w:p>
    <w:p>
      <w:pPr>
        <w:pStyle w:val="ListParagraph"/>
        <w:numPr>
          <w:ilvl w:val="0"/>
          <w:numId w:val="2"/>
        </w:numPr>
        <w:spacing w:after="70" w:line="258"/>
      </w:pPr>
      <w:r>
        <w:rPr>
          <w:sz w:val="17"/>
          <w:szCs w:val="17"/>
        </w:rPr>
        <w:t xml:space="preserve">Cornell Notes (Universal Front) — direct-teaching capture (cue / notes / summary)</w:t>
      </w:r>
    </w:p>
    <w:p>
      <w:pPr>
        <w:pStyle w:val="ListParagraph"/>
        <w:numPr>
          <w:ilvl w:val="0"/>
          <w:numId w:val="2"/>
        </w:numPr>
        <w:spacing w:after="70" w:line="258"/>
      </w:pPr>
      <w:r>
        <w:rPr>
          <w:sz w:val="17"/>
          <w:szCs w:val="17"/>
        </w:rPr>
        <w:t xml:space="preserve">Cornell Support Backs — optional MTSS scaffold; lives in the Teacher Organizer Toolkit, prints duplex behind the Cornell front, copy only as needed</w:t>
      </w:r>
    </w:p>
    <w:p>
      <w:pPr>
        <w:pStyle w:val="ListParagraph"/>
        <w:numPr>
          <w:ilvl w:val="0"/>
          <w:numId w:val="2"/>
        </w:numPr>
        <w:spacing w:after="70" w:line="258"/>
      </w:pPr>
      <w:r>
        <w:rPr>
          <w:sz w:val="17"/>
          <w:szCs w:val="17"/>
        </w:rPr>
        <w:t xml:space="preserve">Comparison / analysis organizer — structure student thinking on the core content</w:t>
      </w:r>
    </w:p>
    <w:p>
      <w:pPr>
        <w:pStyle w:val="ListParagraph"/>
        <w:numPr>
          <w:ilvl w:val="0"/>
          <w:numId w:val="2"/>
        </w:numPr>
        <w:spacing w:after="70" w:line="258"/>
      </w:pPr>
      <w:r>
        <w:rPr>
          <w:sz w:val="17"/>
          <w:szCs w:val="17"/>
        </w:rPr>
        <w:t xml:space="preserve">Primary-Source Packet + HIPP organizer — sourcing &amp; analysis of “Pendleton Civil Service Reform Act”</w:t>
      </w:r>
    </w:p>
    <w:p>
      <w:pPr>
        <w:pStyle w:val="ListParagraph"/>
        <w:numPr>
          <w:ilvl w:val="0"/>
          <w:numId w:val="2"/>
        </w:numPr>
        <w:spacing w:after="70" w:line="258"/>
      </w:pPr>
      <w:r>
        <w:rPr>
          <w:sz w:val="17"/>
          <w:szCs w:val="17"/>
        </w:rPr>
        <w:t xml:space="preserve">CER organizer — evidence-based extended writing</w:t>
      </w:r>
    </w:p>
    <w:p>
      <w:pPr>
        <w:pStyle w:val="ListParagraph"/>
        <w:numPr>
          <w:ilvl w:val="0"/>
          <w:numId w:val="2"/>
        </w:numPr>
        <w:spacing w:after="70" w:line="258"/>
      </w:pPr>
      <w:r>
        <w:rPr>
          <w:sz w:val="17"/>
          <w:szCs w:val="17"/>
        </w:rPr>
        <w:t xml:space="preserve">Formative Assessment + Exit Ticket (EN/ES) — checks for understanding</w:t>
      </w:r>
    </w:p>
    <w:p>
      <w:pPr>
        <w:spacing w:after="120" w:line="264"/>
      </w:pPr>
      <w:r>
        <w:rPr>
          <w:b/>
          <w:bCs/>
          <w:color w:val="1F3A5F"/>
          <w:sz w:val="16"/>
          <w:szCs w:val="16"/>
        </w:rPr>
        <w:t xml:space="preserve">Word Bank (key vocabulary): </w:t>
      </w:r>
      <w:r>
        <w:rPr>
          <w:sz w:val="16"/>
          <w:szCs w:val="16"/>
        </w:rPr>
        <w:t xml:space="preserve">Gilded Age · Political Machines · Spoils System · Boss Tweed · Thomas Nast · Pendleton Act</w:t>
      </w:r>
    </w:p>
    <w:p>
      <w:pPr>
        <w:spacing w:after="120" w:line="264"/>
      </w:pPr>
      <w:r>
        <w:rPr>
          <w:i/>
          <w:iCs/>
          <w:color w:val="555555"/>
          <w:sz w:val="16"/>
          <w:szCs w:val="16"/>
        </w:rPr>
        <w:t xml:space="preserve">Complex text, student choice (organizer format), primary sources, and student-to-student discussion are built in — satisfying the TEAM Activities &amp; Materials indicators.</w:t>
      </w:r>
    </w:p>
    <w:p>
      <w:pPr>
        <w:pBdr>
          <w:bottom w:val="single" w:color="C9D3DD" w:sz="4" w:space="4"/>
        </w:pBdr>
        <w:spacing w:after="90" w:before="220"/>
      </w:pPr>
      <w:r>
        <w:rPr>
          <w:b/>
          <w:bCs/>
          <w:color w:val="1F3A5F"/>
          <w:sz w:val="22"/>
          <w:szCs w:val="22"/>
        </w:rPr>
        <w:t xml:space="preserve">5 · Questioning Plan (DOK ladder, text-based, cite evidence)</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1500"/>
        <w:gridCol w:w="7560"/>
      </w:tblGrid>
      <w:tr>
        <w:trPr>
          <w:tblHeader/>
        </w:trPr>
        <w:tc>
          <w:tcPr>
            <w:tcW w:type="dxa" w:w="1500"/>
            <w:shd w:fill="1F3A5F" w:color="auto" w:val="clear"/>
            <w:tcMar>
              <w:top w:type="dxa" w:w="60"/>
              <w:left w:type="dxa" w:w="100"/>
              <w:bottom w:type="dxa" w:w="60"/>
              <w:right w:type="dxa" w:w="100"/>
            </w:tcMar>
          </w:tcPr>
          <w:p>
            <w:r>
              <w:rPr>
                <w:b/>
                <w:bCs/>
                <w:color w:val="FFFFFF"/>
                <w:sz w:val="17"/>
                <w:szCs w:val="17"/>
              </w:rPr>
              <w:t xml:space="preserve">Level</w:t>
            </w:r>
          </w:p>
        </w:tc>
        <w:tc>
          <w:tcPr>
            <w:tcW w:type="dxa" w:w="7560"/>
            <w:shd w:fill="1F3A5F" w:color="auto" w:val="clear"/>
            <w:tcMar>
              <w:top w:type="dxa" w:w="60"/>
              <w:left w:type="dxa" w:w="100"/>
              <w:bottom w:type="dxa" w:w="60"/>
              <w:right w:type="dxa" w:w="100"/>
            </w:tcMar>
          </w:tcPr>
          <w:p>
            <w:r>
              <w:rPr>
                <w:b/>
                <w:bCs/>
                <w:color w:val="FFFFFF"/>
                <w:sz w:val="17"/>
                <w:szCs w:val="17"/>
              </w:rPr>
              <w:t xml:space="preserve">Example question (US.04)</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1</w:t>
            </w:r>
          </w:p>
        </w:tc>
        <w:tc>
          <w:tcPr>
            <w:tcW w:type="dxa" w:w="7560"/>
            <w:shd w:fill="EEF2F6" w:color="auto" w:val="clear"/>
            <w:tcMar>
              <w:top w:type="dxa" w:w="60"/>
              <w:left w:type="dxa" w:w="100"/>
              <w:bottom w:type="dxa" w:w="60"/>
              <w:right w:type="dxa" w:w="100"/>
            </w:tcMar>
          </w:tcPr>
          <w:p>
            <w:r>
              <w:rPr>
                <w:sz w:val="16"/>
                <w:szCs w:val="16"/>
              </w:rPr>
              <w:t xml:space="preserve">Define the key term “Gilded Age” and identify when it occurred.</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2</w:t>
            </w:r>
          </w:p>
        </w:tc>
        <w:tc>
          <w:tcPr>
            <w:tcW w:type="dxa" w:w="7560"/>
            <w:shd w:fill="FFFFFF" w:color="auto" w:val="clear"/>
            <w:tcMar>
              <w:top w:type="dxa" w:w="60"/>
              <w:left w:type="dxa" w:w="100"/>
              <w:bottom w:type="dxa" w:w="60"/>
              <w:right w:type="dxa" w:w="100"/>
            </w:tcMar>
          </w:tcPr>
          <w:p>
            <w:r>
              <w:rPr>
                <w:sz w:val="16"/>
                <w:szCs w:val="16"/>
              </w:rPr>
              <w:t xml:space="preserve">In your own words, summarize the Gilded Age Politics and Economics and explain why it mattered.</w:t>
            </w:r>
          </w:p>
        </w:tc>
      </w:tr>
      <w:tr>
        <w:tc>
          <w:tcPr>
            <w:tcW w:type="dxa" w:w="1500"/>
            <w:shd w:fill="EEF2F6" w:color="auto" w:val="clear"/>
            <w:tcMar>
              <w:top w:type="dxa" w:w="60"/>
              <w:left w:type="dxa" w:w="100"/>
              <w:bottom w:type="dxa" w:w="60"/>
              <w:right w:type="dxa" w:w="100"/>
            </w:tcMar>
          </w:tcPr>
          <w:p>
            <w:r>
              <w:rPr>
                <w:b w:val="false"/>
                <w:bCs w:val="false"/>
                <w:color w:val="222222"/>
                <w:sz w:val="17"/>
                <w:szCs w:val="17"/>
              </w:rPr>
              <w:t xml:space="preserve">DOK 3</w:t>
            </w:r>
          </w:p>
        </w:tc>
        <w:tc>
          <w:tcPr>
            <w:tcW w:type="dxa" w:w="7560"/>
            <w:shd w:fill="EEF2F6" w:color="auto" w:val="clear"/>
            <w:tcMar>
              <w:top w:type="dxa" w:w="60"/>
              <w:left w:type="dxa" w:w="100"/>
              <w:bottom w:type="dxa" w:w="60"/>
              <w:right w:type="dxa" w:w="100"/>
            </w:tcMar>
          </w:tcPr>
          <w:p>
            <w:r>
              <w:rPr>
                <w:sz w:val="16"/>
                <w:szCs w:val="16"/>
              </w:rPr>
              <w:t xml:space="preserve">Analyze the economic relationship between farmers, railroads, and industrial capitalists during the Gilded Age.</w:t>
            </w:r>
          </w:p>
        </w:tc>
      </w:tr>
      <w:tr>
        <w:tc>
          <w:tcPr>
            <w:tcW w:type="dxa" w:w="1500"/>
            <w:shd w:fill="FFFFFF" w:color="auto" w:val="clear"/>
            <w:tcMar>
              <w:top w:type="dxa" w:w="60"/>
              <w:left w:type="dxa" w:w="100"/>
              <w:bottom w:type="dxa" w:w="60"/>
              <w:right w:type="dxa" w:w="100"/>
            </w:tcMar>
          </w:tcPr>
          <w:p>
            <w:r>
              <w:rPr>
                <w:b w:val="false"/>
                <w:bCs w:val="false"/>
                <w:color w:val="222222"/>
                <w:sz w:val="17"/>
                <w:szCs w:val="17"/>
              </w:rPr>
              <w:t xml:space="preserve">DOK 4</w:t>
            </w:r>
          </w:p>
        </w:tc>
        <w:tc>
          <w:tcPr>
            <w:tcW w:type="dxa" w:w="7560"/>
            <w:shd w:fill="FFFFFF" w:color="auto" w:val="clear"/>
            <w:tcMar>
              <w:top w:type="dxa" w:w="60"/>
              <w:left w:type="dxa" w:w="100"/>
              <w:bottom w:type="dxa" w:w="60"/>
              <w:right w:type="dxa" w:w="100"/>
            </w:tcMar>
          </w:tcPr>
          <w:p>
            <w:r>
              <w:rPr>
                <w:sz w:val="16"/>
                <w:szCs w:val="16"/>
              </w:rPr>
              <w:t xml:space="preserve">Evaluate the long-term impact of the Gilded Age Politics and Economics — support your claim with evidence from the source(s).</w:t>
            </w:r>
          </w:p>
        </w:tc>
      </w:tr>
    </w:tbl>
    <w:p>
      <w:pPr>
        <w:spacing w:before="40"/>
      </w:pPr>
      <w:r>
        <w:rPr>
          <w:i/>
          <w:iCs/>
          <w:color w:val="555555"/>
          <w:sz w:val="15"/>
          <w:szCs w:val="15"/>
        </w:rPr>
        <w:t xml:space="preserve">Anchored to the US.04 content and item bank (DOK 1–4). Majority of questions are text-based; students cite evidence. Teacher may swap in additional bank items.</w:t>
      </w:r>
    </w:p>
    <w:p>
      <w:pPr>
        <w:pBdr>
          <w:bottom w:val="single" w:color="C9D3DD" w:sz="4" w:space="4"/>
        </w:pBdr>
        <w:spacing w:after="90" w:before="220"/>
      </w:pPr>
      <w:r>
        <w:rPr>
          <w:b/>
          <w:bCs/>
          <w:color w:val="1F3A5F"/>
          <w:sz w:val="22"/>
          <w:szCs w:val="22"/>
        </w:rPr>
        <w:t xml:space="preserve">6 · Thinking &amp; Problem-Solving</w:t>
      </w:r>
    </w:p>
    <w:p>
      <w:pPr>
        <w:pStyle w:val="ListParagraph"/>
        <w:numPr>
          <w:ilvl w:val="0"/>
          <w:numId w:val="2"/>
        </w:numPr>
        <w:spacing w:after="70" w:line="258"/>
      </w:pPr>
      <w:r>
        <w:rPr>
          <w:b/>
          <w:bCs/>
          <w:sz w:val="17"/>
          <w:szCs w:val="17"/>
        </w:rPr>
        <w:t xml:space="preserve">Analytical thinking: </w:t>
      </w:r>
      <w:r>
        <w:rPr>
          <w:sz w:val="17"/>
          <w:szCs w:val="17"/>
        </w:rPr>
        <w:t xml:space="preserve">compare and contrast perspectives within the Gilded Age Politics and Economics.</w:t>
      </w:r>
    </w:p>
    <w:p>
      <w:pPr>
        <w:pStyle w:val="ListParagraph"/>
        <w:numPr>
          <w:ilvl w:val="0"/>
          <w:numId w:val="2"/>
        </w:numPr>
        <w:spacing w:after="70" w:line="258"/>
      </w:pPr>
      <w:r>
        <w:rPr>
          <w:b/>
          <w:bCs/>
          <w:sz w:val="17"/>
          <w:szCs w:val="17"/>
        </w:rPr>
        <w:t xml:space="preserve">Research-based thinking: </w:t>
      </w:r>
      <w:r>
        <w:rPr>
          <w:sz w:val="17"/>
          <w:szCs w:val="17"/>
        </w:rPr>
        <w:t xml:space="preserve">evaluate “Pendleton Civil Service Reform Act” and related sources.</w:t>
      </w:r>
    </w:p>
    <w:p>
      <w:pPr>
        <w:pStyle w:val="ListParagraph"/>
        <w:numPr>
          <w:ilvl w:val="0"/>
          <w:numId w:val="2"/>
        </w:numPr>
        <w:spacing w:after="70" w:line="258"/>
      </w:pPr>
      <w:r>
        <w:rPr>
          <w:b/>
          <w:bCs/>
          <w:sz w:val="17"/>
          <w:szCs w:val="17"/>
        </w:rPr>
        <w:t xml:space="preserve">Problem-solving (drawing conclusions / justifying): </w:t>
      </w:r>
      <w:r>
        <w:rPr>
          <w:sz w:val="17"/>
          <w:szCs w:val="17"/>
        </w:rPr>
        <w:t xml:space="preserve">students build and defend a claim in the CER.</w:t>
      </w:r>
    </w:p>
    <w:p>
      <w:pPr>
        <w:pBdr>
          <w:bottom w:val="single" w:color="C9D3DD" w:sz="4" w:space="4"/>
        </w:pBdr>
        <w:spacing w:after="90" w:before="220"/>
      </w:pPr>
      <w:r>
        <w:rPr>
          <w:b/>
          <w:bCs/>
          <w:color w:val="1F3A5F"/>
          <w:sz w:val="22"/>
          <w:szCs w:val="22"/>
        </w:rPr>
        <w:t xml:space="preserve">7 · Grouping &amp; Feedback  [teacher selects]</w:t>
      </w:r>
    </w:p>
    <w:p>
      <w:pPr>
        <w:pStyle w:val="ListParagraph"/>
        <w:numPr>
          <w:ilvl w:val="0"/>
          <w:numId w:val="2"/>
        </w:numPr>
        <w:spacing w:after="70" w:line="258"/>
      </w:pPr>
      <w:r>
        <w:rPr>
          <w:b/>
          <w:bCs/>
          <w:sz w:val="17"/>
          <w:szCs w:val="17"/>
        </w:rPr>
        <w:t xml:space="preserve">Grouping: </w:t>
      </w:r>
      <w:r>
        <w:rPr>
          <w:sz w:val="17"/>
          <w:szCs w:val="17"/>
        </w:rPr>
        <w:t xml:space="preserve">pairs for the CER organizer; whole-class for the primary-source model; individual exit ticket.</w:t>
      </w:r>
    </w:p>
    <w:p>
      <w:pPr>
        <w:pStyle w:val="ListParagraph"/>
        <w:numPr>
          <w:ilvl w:val="0"/>
          <w:numId w:val="2"/>
        </w:numPr>
        <w:spacing w:after="70" w:line="258"/>
      </w:pPr>
      <w:r>
        <w:rPr>
          <w:b/>
          <w:bCs/>
          <w:sz w:val="17"/>
          <w:szCs w:val="17"/>
        </w:rPr>
        <w:t xml:space="preserve">Feedback checkpoints: </w:t>
      </w:r>
      <w:r>
        <w:rPr>
          <w:sz w:val="17"/>
          <w:szCs w:val="17"/>
        </w:rPr>
        <w:t xml:space="preserve">circulate during Guided Practice and Primary-Source segments; use exit-ticket results to adjust tomorrow's opening.</w:t>
      </w:r>
    </w:p>
    <w:p>
      <w:pPr>
        <w:pBdr>
          <w:bottom w:val="single" w:color="C9D3DD" w:sz="4" w:space="4"/>
        </w:pBdr>
        <w:spacing w:after="90" w:before="220"/>
      </w:pPr>
      <w:r>
        <w:rPr>
          <w:b/>
          <w:bCs/>
          <w:color w:val="1F3A5F"/>
          <w:sz w:val="22"/>
          <w:szCs w:val="22"/>
        </w:rPr>
        <w:t xml:space="preserve">8 · Differentiation (Knowledge of Students)</w:t>
      </w:r>
    </w:p>
    <w:p>
      <w:pPr>
        <w:pStyle w:val="ListParagraph"/>
        <w:numPr>
          <w:ilvl w:val="0"/>
          <w:numId w:val="2"/>
        </w:numPr>
        <w:spacing w:after="70" w:line="258"/>
      </w:pPr>
      <w:r>
        <w:rPr>
          <w:b/>
          <w:bCs/>
          <w:sz w:val="17"/>
          <w:szCs w:val="17"/>
        </w:rPr>
        <w:t xml:space="preserve">ELL / WIDA: </w:t>
      </w:r>
      <w:r>
        <w:rPr>
          <w:sz w:val="17"/>
          <w:szCs w:val="17"/>
        </w:rPr>
        <w:t xml:space="preserve">UDL/WIDA overlay + sentence frames; Spanish exit ticket for entering/emerging levels.</w:t>
      </w:r>
    </w:p>
    <w:p>
      <w:pPr>
        <w:pStyle w:val="ListParagraph"/>
        <w:numPr>
          <w:ilvl w:val="0"/>
          <w:numId w:val="2"/>
        </w:numPr>
        <w:spacing w:after="70" w:line="258"/>
      </w:pPr>
      <w:r>
        <w:rPr>
          <w:b/>
          <w:bCs/>
          <w:sz w:val="17"/>
          <w:szCs w:val="17"/>
        </w:rPr>
        <w:t xml:space="preserve">IEP / 504: </w:t>
      </w:r>
      <w:r>
        <w:rPr>
          <w:sz w:val="17"/>
          <w:szCs w:val="17"/>
        </w:rPr>
        <w:t xml:space="preserve">chunked Cornell Notes (with the support back), extended time, read-aloud (browser TTS), reduced-item formative option.</w:t>
      </w:r>
    </w:p>
    <w:p>
      <w:pPr>
        <w:pBdr>
          <w:bottom w:val="single" w:color="C9D3DD" w:sz="4" w:space="4"/>
        </w:pBdr>
        <w:spacing w:after="90" w:before="220"/>
      </w:pPr>
      <w:r>
        <w:rPr>
          <w:b/>
          <w:bCs/>
          <w:color w:val="1F3A5F"/>
          <w:sz w:val="22"/>
          <w:szCs w:val="22"/>
        </w:rPr>
        <w:t xml:space="preserve">9 · Environment Reminders (teacher-implemented)</w:t>
      </w:r>
    </w:p>
    <w:p>
      <w:pPr>
        <w:spacing w:after="60"/>
      </w:pPr>
      <w:r>
        <w:rPr>
          <w:i/>
          <w:iCs/>
          <w:color w:val="555555"/>
          <w:sz w:val="16"/>
          <w:szCs w:val="16"/>
        </w:rPr>
        <w:t xml:space="preserve">A lesson plan supports — but cannot manufacture — the TEAM Environment domain. Reminders:</w:t>
      </w:r>
    </w:p>
    <w:p>
      <w:pPr>
        <w:pStyle w:val="ListParagraph"/>
        <w:numPr>
          <w:ilvl w:val="0"/>
          <w:numId w:val="2"/>
        </w:numPr>
        <w:spacing w:after="70" w:line="258"/>
      </w:pPr>
      <w:r>
        <w:rPr>
          <w:sz w:val="17"/>
          <w:szCs w:val="17"/>
        </w:rPr>
        <w:t xml:space="preserve">Set high expectations; frame content with dignity and historical accuracy.</w:t>
      </w:r>
    </w:p>
    <w:p>
      <w:pPr>
        <w:pStyle w:val="ListParagraph"/>
        <w:numPr>
          <w:ilvl w:val="0"/>
          <w:numId w:val="2"/>
        </w:numPr>
        <w:spacing w:after="70" w:line="258"/>
      </w:pPr>
      <w:r>
        <w:rPr>
          <w:sz w:val="17"/>
          <w:szCs w:val="17"/>
        </w:rPr>
        <w:t xml:space="preserve">Establish discussion norms before the primary-source analysis.</w:t>
      </w:r>
    </w:p>
    <w:p>
      <w:pPr>
        <w:pStyle w:val="ListParagraph"/>
        <w:numPr>
          <w:ilvl w:val="0"/>
          <w:numId w:val="2"/>
        </w:numPr>
        <w:spacing w:after="70" w:line="258"/>
      </w:pPr>
      <w:r>
        <w:rPr>
          <w:sz w:val="17"/>
          <w:szCs w:val="17"/>
        </w:rPr>
        <w:t xml:space="preserve">Display current student work; keep materials accessible for the pair activity.</w:t>
      </w:r>
    </w:p>
    <w:p>
      <w:pPr>
        <w:pBdr>
          <w:bottom w:val="single" w:color="C9D3DD" w:sz="4" w:space="4"/>
        </w:pBdr>
        <w:spacing w:after="90" w:before="220"/>
      </w:pPr>
      <w:r>
        <w:rPr>
          <w:b/>
          <w:bCs/>
          <w:color w:val="1F3A5F"/>
          <w:sz w:val="22"/>
          <w:szCs w:val="22"/>
        </w:rPr>
        <w:t xml:space="preserve">10 · Materials &amp; Where to Print</w:t>
      </w:r>
    </w:p>
    <w:p>
      <w:pPr>
        <w:spacing w:after="60"/>
      </w:pPr>
      <w:r>
        <w:rPr>
          <w:b/>
          <w:bCs/>
          <w:sz w:val="17"/>
          <w:szCs w:val="17"/>
        </w:rPr>
        <w:t xml:space="preserve">Included in today's print ZIP </w:t>
      </w:r>
      <w:r>
        <w:rPr>
          <w:sz w:val="17"/>
          <w:szCs w:val="17"/>
        </w:rPr>
        <w:t xml:space="preserve">(US.04 — print-ready PDF + editable DOCX):</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4530"/>
        <w:gridCol w:w="4530"/>
      </w:tblGrid>
      <w:tr>
        <w:trPr>
          <w:tblHeader/>
        </w:trPr>
        <w:tc>
          <w:tcPr>
            <w:tcW w:type="dxa" w:w="4530"/>
            <w:shd w:fill="1F3A5F" w:color="auto" w:val="clear"/>
            <w:tcMar>
              <w:top w:type="dxa" w:w="60"/>
              <w:left w:type="dxa" w:w="100"/>
              <w:bottom w:type="dxa" w:w="60"/>
              <w:right w:type="dxa" w:w="100"/>
            </w:tcMar>
          </w:tcPr>
          <w:p>
            <w:r>
              <w:rPr>
                <w:b/>
                <w:bCs/>
                <w:color w:val="FFFFFF"/>
                <w:sz w:val="17"/>
                <w:szCs w:val="17"/>
              </w:rPr>
              <w:t xml:space="preserve">Student (print &amp; copy)</w:t>
            </w:r>
          </w:p>
        </w:tc>
        <w:tc>
          <w:tcPr>
            <w:tcW w:type="dxa" w:w="4530"/>
            <w:shd w:fill="1F3A5F" w:color="auto" w:val="clear"/>
            <w:tcMar>
              <w:top w:type="dxa" w:w="60"/>
              <w:left w:type="dxa" w:w="100"/>
              <w:bottom w:type="dxa" w:w="60"/>
              <w:right w:type="dxa" w:w="100"/>
            </w:tcMar>
          </w:tcPr>
          <w:p>
            <w:r>
              <w:rPr>
                <w:b/>
                <w:bCs/>
                <w:color w:val="FFFFFF"/>
                <w:sz w:val="17"/>
                <w:szCs w:val="17"/>
              </w:rPr>
              <w:t xml:space="preserve">Teacher (your copy)</w:t>
            </w:r>
          </w:p>
        </w:tc>
      </w:tr>
      <w:tr>
        <w:tc>
          <w:tcPr>
            <w:tcW w:type="dxa" w:w="4530"/>
            <w:shd w:fill="EEF2F6" w:color="auto" w:val="clear"/>
            <w:tcMar>
              <w:top w:type="dxa" w:w="60"/>
              <w:left w:type="dxa" w:w="100"/>
              <w:bottom w:type="dxa" w:w="60"/>
              <w:right w:type="dxa" w:w="100"/>
            </w:tcMar>
          </w:tcPr>
          <w:p>
            <w:r>
              <w:rPr>
                <w:sz w:val="16"/>
                <w:szCs w:val="16"/>
              </w:rPr>
              <w:t xml:space="preserve">Cornell Notes (Universal Front)</w:t>
            </w:r>
          </w:p>
        </w:tc>
        <w:tc>
          <w:tcPr>
            <w:tcW w:type="dxa" w:w="4530"/>
            <w:shd w:fill="EEF2F6" w:color="auto" w:val="clear"/>
            <w:tcMar>
              <w:top w:type="dxa" w:w="60"/>
              <w:left w:type="dxa" w:w="100"/>
              <w:bottom w:type="dxa" w:w="60"/>
              <w:right w:type="dxa" w:w="100"/>
            </w:tcMar>
          </w:tcPr>
          <w:p>
            <w:r>
              <w:rPr>
                <w:color w:val="222222"/>
                <w:sz w:val="16"/>
                <w:szCs w:val="16"/>
              </w:rPr>
              <w:t xml:space="preserve">Teacher Lesson Plan (this doc)</w:t>
            </w:r>
          </w:p>
        </w:tc>
      </w:tr>
      <w:tr>
        <w:tc>
          <w:tcPr>
            <w:tcW w:type="dxa" w:w="4530"/>
            <w:shd w:fill="FFFFFF" w:color="auto" w:val="clear"/>
            <w:tcMar>
              <w:top w:type="dxa" w:w="60"/>
              <w:left w:type="dxa" w:w="100"/>
              <w:bottom w:type="dxa" w:w="60"/>
              <w:right w:type="dxa" w:w="100"/>
            </w:tcMar>
          </w:tcPr>
          <w:p>
            <w:r>
              <w:rPr>
                <w:sz w:val="16"/>
                <w:szCs w:val="16"/>
              </w:rPr>
              <w:t xml:space="preserve">Comparison / analysis organizer</w:t>
            </w:r>
          </w:p>
        </w:tc>
        <w:tc>
          <w:tcPr>
            <w:tcW w:type="dxa" w:w="4530"/>
            <w:shd w:fill="FFFFFF" w:color="auto" w:val="clear"/>
            <w:tcMar>
              <w:top w:type="dxa" w:w="60"/>
              <w:left w:type="dxa" w:w="100"/>
              <w:bottom w:type="dxa" w:w="60"/>
              <w:right w:type="dxa" w:w="100"/>
            </w:tcMar>
          </w:tcPr>
          <w:p>
            <w:r>
              <w:rPr>
                <w:color w:val="222222"/>
                <w:sz w:val="16"/>
                <w:szCs w:val="16"/>
              </w:rPr>
              <w:t xml:space="preserve">Cornell Support Backs — toolkit (copy as needed, MTSS)</w:t>
            </w:r>
          </w:p>
        </w:tc>
      </w:tr>
      <w:tr>
        <w:tc>
          <w:tcPr>
            <w:tcW w:type="dxa" w:w="4530"/>
            <w:shd w:fill="EEF2F6" w:color="auto" w:val="clear"/>
            <w:tcMar>
              <w:top w:type="dxa" w:w="60"/>
              <w:left w:type="dxa" w:w="100"/>
              <w:bottom w:type="dxa" w:w="60"/>
              <w:right w:type="dxa" w:w="100"/>
            </w:tcMar>
          </w:tcPr>
          <w:p>
            <w:r>
              <w:rPr>
                <w:sz w:val="16"/>
                <w:szCs w:val="16"/>
              </w:rPr>
              <w:t xml:space="preserve">CER organizer</w:t>
            </w:r>
          </w:p>
        </w:tc>
        <w:tc>
          <w:tcPr>
            <w:tcW w:type="dxa" w:w="4530"/>
            <w:shd w:fill="EEF2F6" w:color="auto" w:val="clear"/>
            <w:tcMar>
              <w:top w:type="dxa" w:w="60"/>
              <w:left w:type="dxa" w:w="100"/>
              <w:bottom w:type="dxa" w:w="60"/>
              <w:right w:type="dxa" w:w="100"/>
            </w:tcMar>
          </w:tcPr>
          <w:p>
            <w:r>
              <w:rPr>
                <w:color w:val="222222"/>
                <w:sz w:val="16"/>
                <w:szCs w:val="16"/>
              </w:rPr>
              <w:t xml:space="preserve">Formative Assessment — Answer Key</w:t>
            </w:r>
          </w:p>
        </w:tc>
      </w:tr>
      <w:tr>
        <w:tc>
          <w:tcPr>
            <w:tcW w:type="dxa" w:w="4530"/>
            <w:shd w:fill="FFFFFF" w:color="auto" w:val="clear"/>
            <w:tcMar>
              <w:top w:type="dxa" w:w="60"/>
              <w:left w:type="dxa" w:w="100"/>
              <w:bottom w:type="dxa" w:w="60"/>
              <w:right w:type="dxa" w:w="100"/>
            </w:tcMar>
          </w:tcPr>
          <w:p>
            <w:r>
              <w:rPr>
                <w:sz w:val="16"/>
                <w:szCs w:val="16"/>
              </w:rPr>
              <w:t xml:space="preserve">HIPP organizer</w:t>
            </w:r>
          </w:p>
        </w:tc>
        <w:tc>
          <w:tcPr>
            <w:tcW w:type="dxa" w:w="4530"/>
            <w:shd w:fill="FFFFFF" w:color="auto" w:val="clear"/>
            <w:tcMar>
              <w:top w:type="dxa" w:w="60"/>
              <w:left w:type="dxa" w:w="100"/>
              <w:bottom w:type="dxa" w:w="60"/>
              <w:right w:type="dxa" w:w="100"/>
            </w:tcMar>
          </w:tcPr>
          <w:p>
            <w:r>
              <w:rPr>
                <w:color w:val="222222"/>
                <w:sz w:val="16"/>
                <w:szCs w:val="16"/>
              </w:rPr>
              <w:t xml:space="preserve">Primary-Source Teacher Guide</w:t>
            </w:r>
          </w:p>
        </w:tc>
      </w:tr>
      <w:tr>
        <w:tc>
          <w:tcPr>
            <w:tcW w:type="dxa" w:w="4530"/>
            <w:shd w:fill="EEF2F6" w:color="auto" w:val="clear"/>
            <w:tcMar>
              <w:top w:type="dxa" w:w="60"/>
              <w:left w:type="dxa" w:w="100"/>
              <w:bottom w:type="dxa" w:w="60"/>
              <w:right w:type="dxa" w:w="100"/>
            </w:tcMar>
          </w:tcPr>
          <w:p>
            <w:r>
              <w:rPr>
                <w:sz w:val="16"/>
                <w:szCs w:val="16"/>
              </w:rPr>
              <w:t xml:space="preserve">Primary-Source Packet</w:t>
            </w:r>
          </w:p>
        </w:tc>
        <w:tc>
          <w:tcPr>
            <w:tcW w:type="dxa" w:w="4530"/>
            <w:shd w:fill="EEF2F6" w:color="auto" w:val="clear"/>
            <w:tcMar>
              <w:top w:type="dxa" w:w="60"/>
              <w:left w:type="dxa" w:w="100"/>
              <w:bottom w:type="dxa" w:w="60"/>
              <w:right w:type="dxa" w:w="100"/>
            </w:tcMar>
          </w:tcPr>
          <w:p>
            <w:r>
              <w:rPr>
                <w:color w:val="222222"/>
                <w:sz w:val="16"/>
                <w:szCs w:val="16"/>
              </w:rPr>
              <w:t xml:space="preserve">UDL / WIDA overlay</w:t>
            </w:r>
          </w:p>
        </w:tc>
      </w:tr>
      <w:tr>
        <w:tc>
          <w:tcPr>
            <w:tcW w:type="dxa" w:w="4530"/>
            <w:shd w:fill="FFFFFF" w:color="auto" w:val="clear"/>
            <w:tcMar>
              <w:top w:type="dxa" w:w="60"/>
              <w:left w:type="dxa" w:w="100"/>
              <w:bottom w:type="dxa" w:w="60"/>
              <w:right w:type="dxa" w:w="100"/>
            </w:tcMar>
          </w:tcPr>
          <w:p>
            <w:r>
              <w:rPr>
                <w:sz w:val="16"/>
                <w:szCs w:val="16"/>
              </w:rPr>
              <w:t xml:space="preserve">Formative Assessment</w:t>
            </w:r>
          </w:p>
        </w:tc>
        <w:tc>
          <w:tcPr>
            <w:tcW w:type="dxa" w:w="4530"/>
            <w:shd w:fill="FFFFFF" w:color="auto" w:val="clear"/>
            <w:tcMar>
              <w:top w:type="dxa" w:w="60"/>
              <w:left w:type="dxa" w:w="100"/>
              <w:bottom w:type="dxa" w:w="60"/>
              <w:right w:type="dxa" w:w="100"/>
            </w:tcMar>
          </w:tcPr>
          <w:p>
            <w:r>
              <w:rPr>
                <w:color w:val="222222"/>
                <w:sz w:val="16"/>
                <w:szCs w:val="16"/>
              </w:rPr>
              <w:t xml:space="preserve">File Map &amp; Print Guide</w:t>
            </w:r>
          </w:p>
        </w:tc>
      </w:tr>
      <w:tr>
        <w:tc>
          <w:tcPr>
            <w:tcW w:type="dxa" w:w="4530"/>
            <w:shd w:fill="EEF2F6" w:color="auto" w:val="clear"/>
            <w:tcMar>
              <w:top w:type="dxa" w:w="60"/>
              <w:left w:type="dxa" w:w="100"/>
              <w:bottom w:type="dxa" w:w="60"/>
              <w:right w:type="dxa" w:w="100"/>
            </w:tcMar>
          </w:tcPr>
          <w:p>
            <w:r>
              <w:rPr>
                <w:sz w:val="16"/>
                <w:szCs w:val="16"/>
              </w:rPr>
              <w:t xml:space="preserve">Exit Ticket — English &amp; Spanish</w:t>
            </w:r>
          </w:p>
        </w:tc>
        <w:tc>
          <w:tcPr>
            <w:tcW w:type="dxa" w:w="4530"/>
            <w:shd w:fill="EEF2F6" w:color="auto" w:val="clear"/>
            <w:tcMar>
              <w:top w:type="dxa" w:w="60"/>
              <w:left w:type="dxa" w:w="100"/>
              <w:bottom w:type="dxa" w:w="60"/>
              <w:right w:type="dxa" w:w="100"/>
            </w:tcMar>
          </w:tcPr>
          <w:p>
            <w:r>
              <w:rPr>
                <w:color w:val="FFFFFF"/>
                <w:sz w:val="16"/>
                <w:szCs w:val="16"/>
              </w:rPr>
              <w:t xml:space="preserve"/>
            </w:r>
          </w:p>
        </w:tc>
      </w:tr>
    </w:tbl>
    <w:p>
      <w:pPr>
        <w:spacing w:before="40"/>
      </w:pPr>
      <w:r>
        <w:rPr>
          <w:i/>
          <w:iCs/>
          <w:color w:val="555555"/>
          <w:sz w:val="15"/>
          <w:szCs w:val="15"/>
        </w:rPr>
        <w:t xml:space="preserve">Note: students print the Cornell Notes Universal Front. The Cornell Support Backs (Guided/Light scaffolds) live in the Teacher Organizer Toolkit and print duplex on the reverse — copy them only for students who need them (MTSS), and fade as evidence grows.</w:t>
      </w:r>
    </w:p>
    <w:p>
      <w:pPr>
        <w:spacing w:after="40" w:before="100"/>
      </w:pPr>
      <w:r>
        <w:rPr>
          <w:b/>
          <w:bCs/>
          <w:color w:val="1F3A5F"/>
          <w:sz w:val="17"/>
          <w:szCs w:val="17"/>
        </w:rPr>
        <w:t xml:space="preserve">Slides (download once for the unit):</w:t>
      </w:r>
    </w:p>
    <w:p>
      <w:pPr>
        <w:spacing w:after="120" w:line="264"/>
      </w:pPr>
      <w:r>
        <w:rPr>
          <w:sz w:val="16"/>
          <w:szCs w:val="16"/>
        </w:rPr>
        <w:t xml:space="preserve">Unit 1 Teacher Deck — US.04 slides. Download from Teacher Tools → Lecture Decks → Unit 1. (Decks are reused all unit, so they are not bundled in the daily ZIP.)</w:t>
      </w:r>
    </w:p>
    <w:p>
      <w:pPr>
        <w:pBdr>
          <w:bottom w:val="single" w:color="C9D3DD" w:sz="4" w:space="4"/>
        </w:pBdr>
        <w:spacing w:after="90" w:before="220"/>
      </w:pPr>
      <w:r>
        <w:rPr>
          <w:b/>
          <w:bCs/>
          <w:color w:val="1F3A5F"/>
          <w:sz w:val="22"/>
          <w:szCs w:val="22"/>
        </w:rPr>
        <w:t xml:space="preserve">11 · Reflection &amp; Next Steps</w:t>
      </w:r>
    </w:p>
    <w:p>
      <w:pPr>
        <w:spacing w:after="60"/>
      </w:pPr>
      <w:r>
        <w:rPr>
          <w:b/>
          <w:bCs/>
          <w:color w:val="1F3A5F"/>
          <w:sz w:val="17"/>
          <w:szCs w:val="17"/>
        </w:rPr>
        <w:t xml:space="preserve">Teacher reflection (complete after teaching):</w:t>
      </w:r>
    </w:p>
    <w:p>
      <w:pPr>
        <w:pStyle w:val="ListParagraph"/>
        <w:numPr>
          <w:ilvl w:val="0"/>
          <w:numId w:val="2"/>
        </w:numPr>
        <w:spacing w:after="70" w:line="258"/>
      </w:pPr>
      <w:r>
        <w:rPr>
          <w:sz w:val="17"/>
          <w:szCs w:val="17"/>
        </w:rPr>
        <w:t xml:space="preserve">Did students meet the I-CAN? Cite the evidence — exit-ticket % correct, CER quality.</w:t>
      </w:r>
    </w:p>
    <w:p>
      <w:pPr>
        <w:pStyle w:val="ListParagraph"/>
        <w:numPr>
          <w:ilvl w:val="0"/>
          <w:numId w:val="2"/>
        </w:numPr>
        <w:spacing w:after="70" w:line="258"/>
      </w:pPr>
      <w:r>
        <w:rPr>
          <w:sz w:val="17"/>
          <w:szCs w:val="17"/>
        </w:rPr>
        <w:t xml:space="preserve">What worked, and what would I change next time?</w:t>
      </w:r>
    </w:p>
    <w:p>
      <w:pPr>
        <w:pStyle w:val="ListParagraph"/>
        <w:numPr>
          <w:ilvl w:val="0"/>
          <w:numId w:val="2"/>
        </w:numPr>
        <w:spacing w:after="70" w:line="258"/>
      </w:pPr>
      <w:r>
        <w:rPr>
          <w:sz w:val="17"/>
          <w:szCs w:val="17"/>
        </w:rPr>
        <w:t xml:space="preserve">Which sub-objective still needs another touch tomorrow?</w:t>
      </w:r>
    </w:p>
    <w:p>
      <w:pPr>
        <w:spacing w:after="60" w:before="40"/>
      </w:pPr>
      <w:r>
        <w:rPr>
          <w:b/>
          <w:bCs/>
          <w:color w:val="1F3A5F"/>
          <w:sz w:val="17"/>
          <w:szCs w:val="17"/>
        </w:rPr>
        <w:t xml:space="preserve">Extension / enrichment </w:t>
      </w:r>
      <w:r>
        <w:rPr>
          <w:sz w:val="17"/>
          <w:szCs w:val="17"/>
        </w:rPr>
        <w:t xml:space="preserve">(for students who mastered it):</w:t>
      </w:r>
    </w:p>
    <w:p>
      <w:pPr>
        <w:pStyle w:val="ListParagraph"/>
        <w:numPr>
          <w:ilvl w:val="0"/>
          <w:numId w:val="2"/>
        </w:numPr>
        <w:spacing w:after="70" w:line="258"/>
      </w:pPr>
      <w:r>
        <w:rPr>
          <w:sz w:val="17"/>
          <w:szCs w:val="17"/>
        </w:rPr>
        <w:t xml:space="preserve">Deeper source work: analyze a second primary source with the HIPP organizer.</w:t>
      </w:r>
    </w:p>
    <w:p>
      <w:pPr>
        <w:pStyle w:val="ListParagraph"/>
        <w:numPr>
          <w:ilvl w:val="0"/>
          <w:numId w:val="2"/>
        </w:numPr>
        <w:spacing w:after="70" w:line="258"/>
      </w:pPr>
      <w:r>
        <w:rPr>
          <w:sz w:val="17"/>
          <w:szCs w:val="17"/>
        </w:rPr>
        <w:t xml:space="preserve">Connect forward: how does the Gilded Age Politics and Economics set up US.05 (Inventions &amp; Innovations of Business Leaders &amp; Entrepreneurs)?</w:t>
      </w:r>
    </w:p>
    <w:p>
      <w:pPr>
        <w:spacing w:after="60" w:before="40"/>
      </w:pPr>
      <w:r>
        <w:rPr>
          <w:b/>
          <w:bCs/>
          <w:color w:val="7A1F2B"/>
          <w:sz w:val="17"/>
          <w:szCs w:val="17"/>
        </w:rPr>
        <w:t xml:space="preserve">If it's not working </w:t>
      </w:r>
      <w:r>
        <w:rPr>
          <w:sz w:val="17"/>
          <w:szCs w:val="17"/>
        </w:rPr>
        <w:t xml:space="preserve">(reteach / intervention path):</w:t>
      </w:r>
    </w:p>
    <w:p>
      <w:pPr>
        <w:pStyle w:val="ListParagraph"/>
        <w:numPr>
          <w:ilvl w:val="0"/>
          <w:numId w:val="2"/>
        </w:numPr>
        <w:spacing w:after="70" w:line="258"/>
      </w:pPr>
      <w:r>
        <w:rPr>
          <w:sz w:val="17"/>
          <w:szCs w:val="17"/>
        </w:rPr>
        <w:t xml:space="preserve">Below ~70% mastery on the exit ticket / formative → reteach with entry-tier materials (Cornell Notes + the Cornell Support Back + a shorter source) in a small group — MTSS Tier 2.</w:t>
      </w:r>
    </w:p>
    <w:p>
      <w:pPr>
        <w:pStyle w:val="ListParagraph"/>
        <w:numPr>
          <w:ilvl w:val="0"/>
          <w:numId w:val="2"/>
        </w:numPr>
        <w:spacing w:after="70" w:line="258"/>
      </w:pPr>
      <w:r>
        <w:rPr>
          <w:b/>
          <w:bCs/>
          <w:sz w:val="17"/>
          <w:szCs w:val="17"/>
        </w:rPr>
        <w:t xml:space="preserve">One click — “Remediate US.04”: </w:t>
      </w:r>
      <w:r>
        <w:rPr>
          <w:sz w:val="17"/>
          <w:szCs w:val="17"/>
        </w:rPr>
        <w:t xml:space="preserve">assembles a reteach pack (entry-tier worksheet, targeted DOK 1–2 questions, ELL/IEP supports) as a fresh print ZIP.</w:t>
      </w:r>
    </w:p>
    <w:p>
      <w:pPr>
        <w:pStyle w:val="ListParagraph"/>
        <w:numPr>
          <w:ilvl w:val="0"/>
          <w:numId w:val="2"/>
        </w:numPr>
        <w:spacing w:after="70" w:line="258"/>
      </w:pPr>
      <w:r>
        <w:rPr>
          <w:b/>
          <w:bCs/>
          <w:sz w:val="17"/>
          <w:szCs w:val="17"/>
        </w:rPr>
        <w:t xml:space="preserve">Mid-lesson trouble: </w:t>
      </w:r>
      <w:r>
        <w:rPr>
          <w:sz w:val="17"/>
          <w:szCs w:val="17"/>
        </w:rPr>
        <w:t xml:space="preserve">if pacing slips, protect the 5-min Exit Ticket — it's tomorrow's data — and move the CER to homework or the next day.</w:t>
      </w:r>
    </w:p>
    <w:p>
      <w:pPr>
        <w:pBdr>
          <w:bottom w:val="single" w:color="C9D3DD" w:sz="4" w:space="4"/>
        </w:pBdr>
        <w:spacing w:after="90" w:before="220"/>
      </w:pPr>
      <w:r>
        <w:rPr>
          <w:b/>
          <w:bCs/>
          <w:color w:val="1F3A5F"/>
          <w:sz w:val="22"/>
          <w:szCs w:val="22"/>
        </w:rPr>
        <w:t xml:space="preserve">Appendix · How this plan maps to the TEAM rubric</w:t>
      </w:r>
    </w:p>
    <w:tbl>
      <w:tblPr>
        <w:tblW w:type="dxa" w:w="9060"/>
        <w:tblBorders>
          <w:top w:val="single" w:color="C9D3DD" w:sz="4"/>
          <w:left w:val="single" w:color="C9D3DD" w:sz="4"/>
          <w:bottom w:val="single" w:color="C9D3DD" w:sz="4"/>
          <w:right w:val="single" w:color="C9D3DD" w:sz="4"/>
          <w:insideH w:val="single" w:color="C9D3DD" w:sz="4"/>
          <w:insideV w:val="single" w:color="C9D3DD" w:sz="4"/>
        </w:tblBorders>
      </w:tblPr>
      <w:tblGrid>
        <w:gridCol w:w="3600"/>
        <w:gridCol w:w="5460"/>
      </w:tblGrid>
      <w:tr>
        <w:trPr>
          <w:tblHeader/>
        </w:trPr>
        <w:tc>
          <w:tcPr>
            <w:tcW w:type="dxa" w:w="3600"/>
            <w:shd w:fill="1F3A5F" w:color="auto" w:val="clear"/>
            <w:tcMar>
              <w:top w:type="dxa" w:w="60"/>
              <w:left w:type="dxa" w:w="100"/>
              <w:bottom w:type="dxa" w:w="60"/>
              <w:right w:type="dxa" w:w="100"/>
            </w:tcMar>
          </w:tcPr>
          <w:p>
            <w:r>
              <w:rPr>
                <w:b/>
                <w:bCs/>
                <w:color w:val="FFFFFF"/>
                <w:sz w:val="17"/>
                <w:szCs w:val="17"/>
              </w:rPr>
              <w:t xml:space="preserve">TEAM indicator</w:t>
            </w:r>
          </w:p>
        </w:tc>
        <w:tc>
          <w:tcPr>
            <w:tcW w:type="dxa" w:w="5460"/>
            <w:shd w:fill="1F3A5F" w:color="auto" w:val="clear"/>
            <w:tcMar>
              <w:top w:type="dxa" w:w="60"/>
              <w:left w:type="dxa" w:w="100"/>
              <w:bottom w:type="dxa" w:w="60"/>
              <w:right w:type="dxa" w:w="100"/>
            </w:tcMar>
          </w:tcPr>
          <w:p>
            <w:r>
              <w:rPr>
                <w:b/>
                <w:bCs/>
                <w:color w:val="FFFFFF"/>
                <w:sz w:val="17"/>
                <w:szCs w:val="17"/>
              </w:rPr>
              <w:t xml:space="preserve">Where addressed</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Standards &amp; Objectives</w:t>
            </w:r>
          </w:p>
        </w:tc>
        <w:tc>
          <w:tcPr>
            <w:tcW w:type="dxa" w:w="5460"/>
            <w:shd w:fill="FFFFFF" w:color="auto" w:val="clear"/>
            <w:tcMar>
              <w:top w:type="dxa" w:w="60"/>
              <w:left w:type="dxa" w:w="100"/>
              <w:bottom w:type="dxa" w:w="60"/>
              <w:right w:type="dxa" w:w="100"/>
            </w:tcMar>
          </w:tcPr>
          <w:p>
            <w:r>
              <w:rPr>
                <w:sz w:val="15"/>
                <w:szCs w:val="15"/>
              </w:rPr>
              <w:t xml:space="preserve">§1 — I-CAN + sequenced sub-objectives + prior learning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Motivating Students</w:t>
            </w:r>
          </w:p>
        </w:tc>
        <w:tc>
          <w:tcPr>
            <w:tcW w:type="dxa" w:w="5460"/>
            <w:shd w:fill="EEF2F6" w:color="auto" w:val="clear"/>
            <w:tcMar>
              <w:top w:type="dxa" w:w="60"/>
              <w:left w:type="dxa" w:w="100"/>
              <w:bottom w:type="dxa" w:w="60"/>
              <w:right w:type="dxa" w:w="100"/>
            </w:tcMar>
          </w:tcPr>
          <w:p>
            <w:r>
              <w:rPr>
                <w:sz w:val="15"/>
                <w:szCs w:val="15"/>
              </w:rPr>
              <w:t xml:space="preserve">§3 Hook — Tennessee relevance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Presenting Content</w:t>
            </w:r>
          </w:p>
        </w:tc>
        <w:tc>
          <w:tcPr>
            <w:tcW w:type="dxa" w:w="5460"/>
            <w:shd w:fill="FFFFFF" w:color="auto" w:val="clear"/>
            <w:tcMar>
              <w:top w:type="dxa" w:w="60"/>
              <w:left w:type="dxa" w:w="100"/>
              <w:bottom w:type="dxa" w:w="60"/>
              <w:right w:type="dxa" w:w="100"/>
            </w:tcMar>
          </w:tcPr>
          <w:p>
            <w:r>
              <w:rPr>
                <w:sz w:val="15"/>
                <w:szCs w:val="15"/>
              </w:rPr>
              <w:t xml:space="preserve">§3 DI — deck visuals + Cornell Notes + modeling</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Lesson Structure &amp; Pacing</w:t>
            </w:r>
          </w:p>
        </w:tc>
        <w:tc>
          <w:tcPr>
            <w:tcW w:type="dxa" w:w="5460"/>
            <w:shd w:fill="EEF2F6" w:color="auto" w:val="clear"/>
            <w:tcMar>
              <w:top w:type="dxa" w:w="60"/>
              <w:left w:type="dxa" w:w="100"/>
              <w:bottom w:type="dxa" w:w="60"/>
              <w:right w:type="dxa" w:w="100"/>
            </w:tcMar>
          </w:tcPr>
          <w:p>
            <w:r>
              <w:rPr>
                <w:sz w:val="15"/>
                <w:szCs w:val="15"/>
              </w:rPr>
              <w:t xml:space="preserve">§3 — 47-min segmented, warm-up → closure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Activities &amp; Materials</w:t>
            </w:r>
          </w:p>
        </w:tc>
        <w:tc>
          <w:tcPr>
            <w:tcW w:type="dxa" w:w="5460"/>
            <w:shd w:fill="FFFFFF" w:color="auto" w:val="clear"/>
            <w:tcMar>
              <w:top w:type="dxa" w:w="60"/>
              <w:left w:type="dxa" w:w="100"/>
              <w:bottom w:type="dxa" w:w="60"/>
              <w:right w:type="dxa" w:w="100"/>
            </w:tcMar>
          </w:tcPr>
          <w:p>
            <w:r>
              <w:rPr>
                <w:sz w:val="15"/>
                <w:szCs w:val="15"/>
              </w:rPr>
              <w:t xml:space="preserve">§4 — varied, choice, primary sources, complex text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Questioning</w:t>
            </w:r>
          </w:p>
        </w:tc>
        <w:tc>
          <w:tcPr>
            <w:tcW w:type="dxa" w:w="5460"/>
            <w:shd w:fill="EEF2F6" w:color="auto" w:val="clear"/>
            <w:tcMar>
              <w:top w:type="dxa" w:w="60"/>
              <w:left w:type="dxa" w:w="100"/>
              <w:bottom w:type="dxa" w:w="60"/>
              <w:right w:type="dxa" w:w="100"/>
            </w:tcMar>
          </w:tcPr>
          <w:p>
            <w:r>
              <w:rPr>
                <w:sz w:val="15"/>
                <w:szCs w:val="15"/>
              </w:rPr>
              <w:t xml:space="preserve">§5 — DOK 1–4 ladder, text-based, cite evidence</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Feedback</w:t>
            </w:r>
          </w:p>
        </w:tc>
        <w:tc>
          <w:tcPr>
            <w:tcW w:type="dxa" w:w="5460"/>
            <w:shd w:fill="FFFFFF" w:color="auto" w:val="clear"/>
            <w:tcMar>
              <w:top w:type="dxa" w:w="60"/>
              <w:left w:type="dxa" w:w="100"/>
              <w:bottom w:type="dxa" w:w="60"/>
              <w:right w:type="dxa" w:w="100"/>
            </w:tcMar>
          </w:tcPr>
          <w:p>
            <w:r>
              <w:rPr>
                <w:sz w:val="15"/>
                <w:szCs w:val="15"/>
              </w:rPr>
              <w:t xml:space="preserve">§7 — checkpoints during guided practice</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Grouping</w:t>
            </w:r>
          </w:p>
        </w:tc>
        <w:tc>
          <w:tcPr>
            <w:tcW w:type="dxa" w:w="5460"/>
            <w:shd w:fill="EEF2F6" w:color="auto" w:val="clear"/>
            <w:tcMar>
              <w:top w:type="dxa" w:w="60"/>
              <w:left w:type="dxa" w:w="100"/>
              <w:bottom w:type="dxa" w:w="60"/>
              <w:right w:type="dxa" w:w="100"/>
            </w:tcMar>
          </w:tcPr>
          <w:p>
            <w:r>
              <w:rPr>
                <w:sz w:val="15"/>
                <w:szCs w:val="15"/>
              </w:rPr>
              <w:t xml:space="preserve">§7 — pairs + whole-class + individual</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Teacher Content Knowledge</w:t>
            </w:r>
          </w:p>
        </w:tc>
        <w:tc>
          <w:tcPr>
            <w:tcW w:type="dxa" w:w="5460"/>
            <w:shd w:fill="FFFFFF" w:color="auto" w:val="clear"/>
            <w:tcMar>
              <w:top w:type="dxa" w:w="60"/>
              <w:left w:type="dxa" w:w="100"/>
              <w:bottom w:type="dxa" w:w="60"/>
              <w:right w:type="dxa" w:w="100"/>
            </w:tcMar>
          </w:tcPr>
          <w:p>
            <w:r>
              <w:rPr>
                <w:sz w:val="15"/>
                <w:szCs w:val="15"/>
              </w:rPr>
              <w:t xml:space="preserve">§1/§4 — accurate, standards-aligned content</w:t>
            </w:r>
          </w:p>
        </w:tc>
      </w:tr>
      <w:tr>
        <w:tc>
          <w:tcPr>
            <w:tcW w:type="dxa" w:w="3600"/>
            <w:shd w:fill="EEF2F6" w:color="auto" w:val="clear"/>
            <w:tcMar>
              <w:top w:type="dxa" w:w="60"/>
              <w:left w:type="dxa" w:w="100"/>
              <w:bottom w:type="dxa" w:w="60"/>
              <w:right w:type="dxa" w:w="100"/>
            </w:tcMar>
          </w:tcPr>
          <w:p>
            <w:r>
              <w:rPr>
                <w:b w:val="false"/>
                <w:bCs w:val="false"/>
                <w:color w:val="222222"/>
                <w:sz w:val="15"/>
                <w:szCs w:val="15"/>
              </w:rPr>
              <w:t xml:space="preserve">Knowledge of Students</w:t>
            </w:r>
          </w:p>
        </w:tc>
        <w:tc>
          <w:tcPr>
            <w:tcW w:type="dxa" w:w="5460"/>
            <w:shd w:fill="EEF2F6" w:color="auto" w:val="clear"/>
            <w:tcMar>
              <w:top w:type="dxa" w:w="60"/>
              <w:left w:type="dxa" w:w="100"/>
              <w:bottom w:type="dxa" w:w="60"/>
              <w:right w:type="dxa" w:w="100"/>
            </w:tcMar>
          </w:tcPr>
          <w:p>
            <w:r>
              <w:rPr>
                <w:sz w:val="15"/>
                <w:szCs w:val="15"/>
              </w:rPr>
              <w:t xml:space="preserve">§8 — UDL/WIDA + IEP/504</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Thinking / Problem-Solving</w:t>
            </w:r>
          </w:p>
        </w:tc>
        <w:tc>
          <w:tcPr>
            <w:tcW w:type="dxa" w:w="5460"/>
            <w:shd w:fill="FFFFFF" w:color="auto" w:val="clear"/>
            <w:tcMar>
              <w:top w:type="dxa" w:w="60"/>
              <w:left w:type="dxa" w:w="100"/>
              <w:bottom w:type="dxa" w:w="60"/>
              <w:right w:type="dxa" w:w="100"/>
            </w:tcMar>
          </w:tcPr>
          <w:p>
            <w:r>
              <w:rPr>
                <w:sz w:val="15"/>
                <w:szCs w:val="15"/>
              </w:rPr>
              <w:t xml:space="preserve">§6 — analytical, research-based, justify a claim</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Instructional Plans</w:t>
            </w:r>
          </w:p>
        </w:tc>
        <w:tc>
          <w:tcPr>
            <w:tcW w:type="dxa" w:w="5460"/>
            <w:shd w:fill="EEF2F6" w:color="auto" w:val="clear"/>
            <w:tcMar>
              <w:top w:type="dxa" w:w="60"/>
              <w:left w:type="dxa" w:w="100"/>
              <w:bottom w:type="dxa" w:w="60"/>
              <w:right w:type="dxa" w:w="100"/>
            </w:tcMar>
          </w:tcPr>
          <w:p>
            <w:r>
              <w:rPr>
                <w:sz w:val="15"/>
                <w:szCs w:val="15"/>
              </w:rPr>
              <w:t xml:space="preserve">Whole plan — sequenced, accommodations, closure</w:t>
            </w:r>
          </w:p>
        </w:tc>
      </w:tr>
      <w:tr>
        <w:tc>
          <w:tcPr>
            <w:tcW w:type="dxa" w:w="3600"/>
            <w:shd w:fill="FFFFFF" w:color="auto" w:val="clear"/>
            <w:tcMar>
              <w:top w:type="dxa" w:w="60"/>
              <w:left w:type="dxa" w:w="100"/>
              <w:bottom w:type="dxa" w:w="60"/>
              <w:right w:type="dxa" w:w="100"/>
            </w:tcMar>
          </w:tcPr>
          <w:p>
            <w:r>
              <w:rPr>
                <w:b/>
                <w:bCs/>
                <w:color w:val="7A1F2B"/>
                <w:sz w:val="15"/>
                <w:szCs w:val="15"/>
              </w:rPr>
              <w:t xml:space="preserve">PLANNING: Student Work</w:t>
            </w:r>
          </w:p>
        </w:tc>
        <w:tc>
          <w:tcPr>
            <w:tcW w:type="dxa" w:w="5460"/>
            <w:shd w:fill="FFFFFF" w:color="auto" w:val="clear"/>
            <w:tcMar>
              <w:top w:type="dxa" w:w="60"/>
              <w:left w:type="dxa" w:w="100"/>
              <w:bottom w:type="dxa" w:w="60"/>
              <w:right w:type="dxa" w:w="100"/>
            </w:tcMar>
          </w:tcPr>
          <w:p>
            <w:r>
              <w:rPr>
                <w:sz w:val="15"/>
                <w:szCs w:val="15"/>
              </w:rPr>
              <w:t xml:space="preserve">§2 — CER + HIPP extended writing</w:t>
            </w:r>
          </w:p>
        </w:tc>
      </w:tr>
      <w:tr>
        <w:tc>
          <w:tcPr>
            <w:tcW w:type="dxa" w:w="3600"/>
            <w:shd w:fill="EEF2F6" w:color="auto" w:val="clear"/>
            <w:tcMar>
              <w:top w:type="dxa" w:w="60"/>
              <w:left w:type="dxa" w:w="100"/>
              <w:bottom w:type="dxa" w:w="60"/>
              <w:right w:type="dxa" w:w="100"/>
            </w:tcMar>
          </w:tcPr>
          <w:p>
            <w:r>
              <w:rPr>
                <w:b/>
                <w:bCs/>
                <w:color w:val="7A1F2B"/>
                <w:sz w:val="15"/>
                <w:szCs w:val="15"/>
              </w:rPr>
              <w:t xml:space="preserve">PLANNING: Assessment</w:t>
            </w:r>
          </w:p>
        </w:tc>
        <w:tc>
          <w:tcPr>
            <w:tcW w:type="dxa" w:w="5460"/>
            <w:shd w:fill="EEF2F6" w:color="auto" w:val="clear"/>
            <w:tcMar>
              <w:top w:type="dxa" w:w="60"/>
              <w:left w:type="dxa" w:w="100"/>
              <w:bottom w:type="dxa" w:w="60"/>
              <w:right w:type="dxa" w:w="100"/>
            </w:tcMar>
          </w:tcPr>
          <w:p>
            <w:r>
              <w:rPr>
                <w:sz w:val="15"/>
                <w:szCs w:val="15"/>
              </w:rPr>
              <w:t xml:space="preserve">§2 — multiple measures + clear criteria</w:t>
            </w:r>
          </w:p>
        </w:tc>
      </w:tr>
      <w:tr>
        <w:tc>
          <w:tcPr>
            <w:tcW w:type="dxa" w:w="3600"/>
            <w:shd w:fill="FFFFFF" w:color="auto" w:val="clear"/>
            <w:tcMar>
              <w:top w:type="dxa" w:w="60"/>
              <w:left w:type="dxa" w:w="100"/>
              <w:bottom w:type="dxa" w:w="60"/>
              <w:right w:type="dxa" w:w="100"/>
            </w:tcMar>
          </w:tcPr>
          <w:p>
            <w:r>
              <w:rPr>
                <w:b w:val="false"/>
                <w:bCs w:val="false"/>
                <w:color w:val="222222"/>
                <w:sz w:val="15"/>
                <w:szCs w:val="15"/>
              </w:rPr>
              <w:t xml:space="preserve">Environment (3 indicators)</w:t>
            </w:r>
          </w:p>
        </w:tc>
        <w:tc>
          <w:tcPr>
            <w:tcW w:type="dxa" w:w="5460"/>
            <w:shd w:fill="FFFFFF" w:color="auto" w:val="clear"/>
            <w:tcMar>
              <w:top w:type="dxa" w:w="60"/>
              <w:left w:type="dxa" w:w="100"/>
              <w:bottom w:type="dxa" w:w="60"/>
              <w:right w:type="dxa" w:w="100"/>
            </w:tcMar>
          </w:tcPr>
          <w:p>
            <w:r>
              <w:rPr>
                <w:sz w:val="15"/>
                <w:szCs w:val="15"/>
              </w:rPr>
              <w:t xml:space="preserve">§9 — reminders (teacher-implemented; not auto-generated)</w:t>
            </w:r>
          </w:p>
        </w:tc>
      </w:tr>
    </w:tbl>
    <w:p>
      <w:pPr>
        <w:spacing w:before="80"/>
      </w:pPr>
      <w:r>
        <w:rPr>
          <w:i/>
          <w:iCs/>
          <w:color w:val="555555"/>
          <w:sz w:val="15"/>
          <w:szCs w:val="15"/>
        </w:rPr>
        <w:t xml:space="preserve">The three PLANNING indicators (highlighted) are what a written plan is directly scored on — this template earns them structurally. The Instruction indicators are documented so the teacher walks in ready; the Environment domain is prompted, not generated.</w:t>
      </w:r>
    </w:p>
    <w:sectPr>
      <w:headerReference w:type="default" r:id="rId7"/>
      <w:footerReference w:type="default" r:id="rId8"/>
      <w:pgSz w:w="12240" w:h="15840" w:orient="portrait"/>
      <w:pgMar w:top="10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right" w:pos="10080"/>
      </w:tabs>
    </w:pPr>
    <w:r>
      <w:rPr>
        <w:color w:val="555555"/>
        <w:sz w:val="13"/>
        <w:szCs w:val="13"/>
      </w:rPr>
      <w:t xml:space="preserve">© 2026 TroopToTeacher Technologies, LLC · U.S. History Hack™ · All rights reserved.</w:t>
    </w:r>
    <w:r>
      <w:rPr>
        <w:color w:val="555555"/>
        <w:sz w:val="13"/>
        <w:szCs w:val="13"/>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tabs>
        <w:tab w:val="right" w:pos="10080"/>
      </w:tabs>
    </w:pPr>
    <w:r>
      <w:rPr>
        <w:b/>
        <w:bCs/>
        <w:color w:val="1F3A5F"/>
        <w:sz w:val="16"/>
        <w:szCs w:val="16"/>
      </w:rPr>
      <w:t xml:space="preserve">U.S. History Hack</w:t>
    </w:r>
    <w:r>
      <w:rPr>
        <w:color w:val="1F3A5F"/>
        <w:sz w:val="12"/>
        <w:szCs w:val="12"/>
        <w:vertAlign w:val="superscript"/>
      </w:rPr>
      <w:t xml:space="preserve">™</w:t>
    </w:r>
    <w:r>
      <w:rPr>
        <w:color w:val="555555"/>
        <w:sz w:val="16"/>
        <w:szCs w:val="16"/>
      </w:rPr>
      <w:t xml:space="preserve">  ·  TEAM-Aligned Lesson Plan</w:t>
    </w:r>
    <w:r>
      <w:rPr>
        <w:color w:val="555555"/>
        <w:sz w:val="15"/>
        <w:szCs w:val="15"/>
      </w:rPr>
      <w:t xml:space="preserve">	US.04 · U.S.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1F3A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US.04 TEAM-Aligned Lesson Plan — U.S. History Hack</dc:title>
  <dc:subject>TEAM-Aligned Lesson Plan (US.04)</dc:subject>
  <dc:creator>TroopToTeacher Technologies, LLC</dc:creator>
  <cp:keywords>U.S. History Hack, TroopToTeacher, U.S. History, TEAM, lesson plan, Unit 1, copyright 2026 TroopToTeacher Technologies LLC</cp:keywords>
  <dc:description>© 2026 TroopToTeacher Technologies, LLC · U.S. History Hack™ · All rights reserved. Generated by U.S. History Hack. Not for redistribution.</dc:description>
  <cp:lastModifiedBy>Un-named</cp:lastModifiedBy>
  <cp:revision>1</cp:revision>
  <dcterms:created xsi:type="dcterms:W3CDTF">2026-08-01T14:51:56.907Z</dcterms:created>
  <dcterms:modified xsi:type="dcterms:W3CDTF">2026-08-01T14:51:56.907Z</dcterms:modified>
</cp:coreProperties>
</file>

<file path=docProps/custom.xml><?xml version="1.0" encoding="utf-8"?>
<Properties xmlns="http://schemas.openxmlformats.org/officeDocument/2006/custom-properties" xmlns:vt="http://schemas.openxmlformats.org/officeDocument/2006/docPropsVTypes"/>
</file>