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30"/>
                <w:szCs w:val="30"/>
                <w:caps/>
                <w:rFonts w:ascii="Calibri" w:cs="Calibri" w:eastAsia="Calibri" w:hAnsi="Calibri"/>
              </w:rPr>
              <w:t xml:space="preserve">Government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54"/>
                <w:szCs w:val="54"/>
                <w:caps/>
                <w:rFonts w:ascii="Calibri" w:cs="Calibri" w:eastAsia="Calibri" w:hAnsi="Calibri"/>
              </w:rPr>
              <w:t xml:space="preserve">CITIZEN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54"/>
                <w:szCs w:val="54"/>
                <w:caps/>
                <w:rFonts w:ascii="Calibri" w:cs="Calibri" w:eastAsia="Calibri" w:hAnsi="Calibri"/>
              </w:rPr>
              <w:t xml:space="preserve">PARTICIPATION</w:t>
            </w:r>
          </w:p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30"/>
                <w:szCs w:val="30"/>
                <w:caps w:val="false"/>
                <w:rFonts w:ascii="Calibri" w:cs="Calibri" w:eastAsia="Calibri" w:hAnsi="Calibri"/>
              </w:rPr>
              <w:t xml:space="preserve">1787 · 1796 · 1920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  Unit 2  ·  High-School U.S. Government &amp; Civics  ·  Standards-Aligned  </w:t>
            </w:r>
          </w:p>
          <w:p>
            <w:pPr>
              <w:spacing w:before="120" w:after="120"/>
              <w:jc w:val="center"/>
            </w:pPr>
            <w:r>
              <w:drawing>
                <wp:inline distT="0" distB="0" distL="0" distR="0">
                  <wp:extent cx="5334000" cy="3810000"/>
                  <wp:effectExtent t="0" r="0" b="0" l="0"/>
                  <wp:docPr id="1" name="cover" descr="Citizen Participation primary source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34"/>
                      <w:szCs w:val="34"/>
                      <w:caps/>
                      <w:rFonts w:ascii="Calibri" w:cs="Calibri" w:eastAsia="Calibri" w:hAnsi="Calibri"/>
                    </w:rPr>
                    <w:t xml:space="preserve">ASSESSMENT BOOK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DOK</w:t>
                  </w:r>
                </w:p>
              </w:tc>
            </w:tr>
          </w:tbl>
          <w:p>
            <w:pPr>
              <w:spacing w:before="120"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6"/>
                <w:szCs w:val="16"/>
                <w:caps w:val="false"/>
                <w:rFonts w:ascii="Calibri" w:cs="Calibri" w:eastAsia="Calibri" w:hAnsi="Calibri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/>
                <w:rFonts w:ascii="Calibri" w:cs="Calibri" w:eastAsia="Calibri" w:hAnsi="Calibri"/>
              </w:rPr>
              <w:t xml:space="preserve">Teacher Edition</w:t>
            </w:r>
          </w:p>
          <w:p>
            <w:pPr>
              <w:spacing w:before="14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6"/>
                <w:szCs w:val="26"/>
                <w:caps/>
                <w:rFonts w:ascii="Calibri" w:cs="Calibri" w:eastAsia="Calibri" w:hAnsi="Calibri"/>
              </w:rPr>
              <w:t xml:space="preserve">Government Hack™   </w:t>
            </w: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  <w:caps w:val="false"/>
                <w:rFonts w:ascii="Calibri" w:cs="Calibri" w:eastAsia="Calibri" w:hAnsi="Calibri"/>
              </w:rPr>
              <w:t xml:space="preserve">Unit 2 — Citizen Participation      </w:t>
            </w: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 w:val="false"/>
                <w:rFonts w:ascii="Calibri" w:cs="Calibri" w:eastAsia="Calibri" w:hAnsi="Calibri"/>
              </w:rPr>
              <w:t xml:space="preserve">ASSESSMENT BOOK   ·   TroopToTeacher Technologies LLC</w:t>
            </w:r>
          </w:p>
        </w:tc>
      </w:tr>
    </w:tbl>
    <w:p>
      <w:pPr>
        <w:spacing w:before="160" w:after="60"/>
        <w:jc w:val="left"/>
      </w:pP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SPINE</w:t>
      </w:r>
    </w:p>
    <w:p>
      <w:pPr>
        <w:spacing w:after="80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Saddle-stitch.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At 17 pages the folded spine is only ≈ 0.038 in (1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2"/>
                <w:szCs w:val="22"/>
                <w:caps/>
                <w:rFonts w:ascii="Calibri" w:cs="Calibri" w:eastAsia="Calibri" w:hAnsi="Calibri"/>
              </w:rPr>
              <w:t xml:space="preserve">Government Hack™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  <w:caps w:val="false"/>
                <w:rFonts w:ascii="Calibri" w:cs="Calibri" w:eastAsia="Calibri" w:hAnsi="Calibri"/>
              </w:rPr>
              <w:t xml:space="preserve">Formative + summative, parallel forms, keyed and ready to reteach.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Unit 2 — Citizen Participation  ·  Teacher Edition</w:t>
            </w:r>
          </w:p>
        </w:tc>
      </w:tr>
    </w:tbl>
    <w:p>
      <w:pPr>
        <w:spacing w:before="200" w:after="30"/>
        <w:jc w:val="left"/>
      </w:pPr>
      <w:r>
        <w:rPr>
          <w:b/>
          <w:bCs/>
          <w:i w:val="false"/>
          <w:iCs w:val="false"/>
          <w:color w:val="1B2A4A"/>
          <w:sz w:val="22"/>
          <w:szCs w:val="22"/>
          <w:caps/>
          <w:rFonts w:ascii="Calibri" w:cs="Calibri" w:eastAsia="Calibri" w:hAnsi="Calibri"/>
        </w:rPr>
        <w:t xml:space="preserve">WHAT’S IN THE ASSESSMENT BOOK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A checkpoint per standard.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Short, DOK-balanced formative checks for progress monitoring across GC.31–GC.34.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Two parallel summative forms.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Form A and Form B for pre/post or retakes, built for minimal overlap.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Keyed with item analysis.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Correct answer, DOK, reporting category, and distractor-based routing — teacher-side only.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Reteach built in.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Each item maps to a “What’s Next” move tied to the workbook’s Cornell notes and Guided Support.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From a real item bank.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Every item is pulled from the Government Hack question bank; positions de-biased and synced across surfaces.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Honest calibration status.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Items are classroom-formative and pre-field-test — the first cycle of use is what calibrates them.</w:t>
      </w:r>
    </w:p>
    <w:p>
      <w:pPr>
        <w:spacing w:before="120" w:after="3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INSIDE THIS UNIT — each standard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GC.31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Responsibilities of Citizens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GC.32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Political Parties &amp; the Nomination Process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GC.33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Media &amp; Public Opinion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GC.34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Means of Political Participation</w:t>
      </w:r>
    </w:p>
    <w:p>
      <w:pPr>
        <w:spacing w:before="120" w:after="120"/>
        <w:jc w:val="left"/>
      </w:pPr>
      <w:r>
        <w:rPr>
          <w:b w:val="false"/>
          <w:bCs w:val="false"/>
          <w:i/>
          <w:iCs/>
          <w:color w:val="1A1A1A"/>
          <w:sz w:val="19"/>
          <w:szCs w:val="19"/>
          <w:caps w:val="false"/>
          <w:rFonts w:ascii="Calibri" w:cs="Calibri" w:eastAsia="Calibri" w:hAnsi="Calibri"/>
        </w:rPr>
        <w:t xml:space="preserve">Part of the Government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caps w:val="false"/>
                <w:rFonts w:ascii="Calibri" w:cs="Calibri" w:eastAsia="Calibri" w:hAnsi="Calibri"/>
              </w:rPr>
              <w:t xml:space="preserve">Government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  <w:caps w:val="false"/>
                <w:rFonts w:ascii="Calibri" w:cs="Calibri" w:eastAsia="Calibri" w:hAnsi="Calibri"/>
              </w:rPr>
              <w:t xml:space="preserve">© 2026 TroopToTeacher Technologies LLC. All rights reserved. Government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7"/>
                <w:szCs w:val="17"/>
                <w:caps w:val="false"/>
                <w:rFonts w:ascii="Calibri" w:cs="Calibri" w:eastAsia="Calibri" w:hAnsi="Calibri"/>
              </w:rPr>
              <w:t xml:space="preserve">www.trooptoteacher.com</w:t>
            </w:r>
            <w:r>
              <w:rPr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6B7280"/>
                      <w:sz w:val="18"/>
                      <w:szCs w:val="18"/>
                      <w:caps w:val="false"/>
                      <w:rFonts w:ascii="Calibri" w:cs="Calibri" w:eastAsia="Calibri" w:hAnsi="Calibri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B7280"/>
                      <w:sz w:val="16"/>
                      <w:szCs w:val="16"/>
                      <w:caps w:val="false"/>
                      <w:rFonts w:ascii="Calibri" w:cs="Calibri" w:eastAsia="Calibri" w:hAnsi="Calibri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/>
                      <w:iCs/>
                      <w:color w:val="6B7280"/>
                      <w:sz w:val="14"/>
                      <w:szCs w:val="14"/>
                      <w:caps w:val="false"/>
                      <w:rFonts w:ascii="Calibri" w:cs="Calibri" w:eastAsia="Calibri" w:hAnsi="Calibri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before="100" w:after="40"/>
        <w:jc w:val="left"/>
      </w:pPr>
      <w:r>
        <w:rPr>
          <w:b/>
          <w:bCs/>
          <w:i w:val="false"/>
          <w:iCs w:val="false"/>
          <w:color w:val="1B2A4A"/>
          <w:sz w:val="30"/>
          <w:szCs w:val="30"/>
          <w:caps/>
          <w:rFonts w:ascii="Calibri" w:cs="Calibri" w:eastAsia="Calibri" w:hAnsi="Calibri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before="100" w:after="120"/>
        <w:jc w:val="left"/>
      </w:pPr>
      <w:r>
        <w:rPr>
          <w:b w:val="false"/>
          <w:bCs w:val="false"/>
          <w:i/>
          <w:iCs/>
          <w:color w:val="6B7280"/>
          <w:sz w:val="19"/>
          <w:szCs w:val="19"/>
          <w:caps w:val="false"/>
          <w:rFonts w:ascii="Calibri" w:cs="Calibri" w:eastAsia="Calibri" w:hAnsi="Calibri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— Unit 2: Citizen Participation · Assessment Book (Teacher)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17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Saddle-stitch (no printed spine) at 17 pp; spine ≈ 0.038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Grades 9–12 · U.S. Government &amp; Civics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assessment, formative, summative, parallel forms, item analysis, reteach, DOK, reporting category, U.S. Government &amp; Civics, TCAP</w:t>
            </w:r>
          </w:p>
        </w:tc>
      </w:tr>
    </w:tbl>
    <w:p>
      <w:pPr>
        <w:spacing w:before="180" w:after="7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BACK-COVER BLURB (for your storefront)</w:t>
      </w:r>
    </w:p>
    <w:p>
      <w:pPr>
        <w:spacing w:after="0"/>
        <w:jc w:val="left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Unit 1 Assessment Book gives you a formative checkpoint for each standard, two parallel summative forms (A and B) for pre/post or retakes, and a full teacher answer key with item analysis and reteach routing. Every item is drawn from the Government Hack question bank, de-biased, and labeled classroom-formative · pre-field-test. Reproduce the student sections; keep the key section for yourself.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oh_hg4wr7t7scmotz38hb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2026-07-29T20:56:28.305Z</dcterms:created>
  <dcterms:modified xsi:type="dcterms:W3CDTF">2026-07-29T20:56:28.305Z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