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30"/>
                <w:szCs w:val="30"/>
                <w:caps/>
                <w:rFonts w:ascii="Calibri" w:cs="Calibri" w:eastAsia="Calibri" w:hAnsi="Calibri"/>
              </w:rPr>
              <w:t xml:space="preserve">Government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54"/>
                <w:szCs w:val="54"/>
                <w:caps/>
                <w:rFonts w:ascii="Calibri" w:cs="Calibri" w:eastAsia="Calibri" w:hAnsi="Calibri"/>
              </w:rPr>
              <w:t xml:space="preserve">CITIZEN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54"/>
                <w:szCs w:val="54"/>
                <w:caps/>
                <w:rFonts w:ascii="Calibri" w:cs="Calibri" w:eastAsia="Calibri" w:hAnsi="Calibri"/>
              </w:rPr>
              <w:t xml:space="preserve">PARTICIPATION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0"/>
                <w:szCs w:val="30"/>
                <w:caps w:val="false"/>
                <w:rFonts w:ascii="Calibri" w:cs="Calibri" w:eastAsia="Calibri" w:hAnsi="Calibri"/>
              </w:rPr>
              <w:t xml:space="preserve">1787 · 1796 · 1920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  Unit 2  ·  High-School U.S. Government &amp; Civics  ·  Standards-Aligned  </w:t>
            </w:r>
          </w:p>
          <w:p>
            <w:pPr>
              <w:spacing w:before="120" w:after="120"/>
              <w:jc w:val="center"/>
            </w:pPr>
            <w:r>
              <w:drawing>
                <wp:inline distT="0" distB="0" distL="0" distR="0">
                  <wp:extent cx="5334000" cy="3810000"/>
                  <wp:effectExtent t="0" r="0" b="0" l="0"/>
                  <wp:docPr id="1" name="cover" descr="Citizen Participation primary source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34"/>
                      <w:szCs w:val="34"/>
                      <w:caps/>
                      <w:rFonts w:ascii="Calibri" w:cs="Calibri" w:eastAsia="Calibri" w:hAnsi="Calibri"/>
                    </w:rPr>
                    <w:t xml:space="preserve">TEACHER EDITION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DOK</w:t>
                  </w:r>
                </w:p>
              </w:tc>
            </w:tr>
          </w:tbl>
          <w:p>
            <w:pPr>
              <w:spacing w:before="120" w:after="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6"/>
                <w:szCs w:val="16"/>
                <w:caps w:val="false"/>
                <w:rFonts w:ascii="Calibri" w:cs="Calibri" w:eastAsia="Calibri" w:hAnsi="Calibri"/>
              </w:rPr>
              <w:t xml:space="preserve">Universal Design for Learning  ·  Multi-Tiered Supports  ·  Evidence-Based Writing</w:t>
            </w:r>
          </w:p>
          <w:p>
            <w:pPr>
              <w:spacing w:before="14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6"/>
                <w:szCs w:val="26"/>
                <w:caps/>
                <w:rFonts w:ascii="Calibri" w:cs="Calibri" w:eastAsia="Calibri" w:hAnsi="Calibri"/>
              </w:rPr>
              <w:t xml:space="preserve">Government Hack™   </w:t>
            </w: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caps w:val="false"/>
                <w:rFonts w:ascii="Calibri" w:cs="Calibri" w:eastAsia="Calibri" w:hAnsi="Calibri"/>
              </w:rPr>
              <w:t xml:space="preserve">Unit 2 — Citizen Participation      </w:t>
            </w: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 w:val="false"/>
                <w:rFonts w:ascii="Calibri" w:cs="Calibri" w:eastAsia="Calibri" w:hAnsi="Calibri"/>
              </w:rPr>
              <w:t xml:space="preserve">TEACHER EDITION   ·   TroopToTeacher Technologies LLC</w:t>
            </w:r>
          </w:p>
        </w:tc>
      </w:tr>
    </w:tbl>
    <w:p>
      <w:pPr>
        <w:spacing w:before="160" w:after="60"/>
        <w:jc w:val="left"/>
      </w:pP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SPINE</w:t>
      </w:r>
    </w:p>
    <w:p>
      <w:pPr>
        <w:spacing w:after="80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Saddle-stitch.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At 13 pages the folded spine is only ≈ 0.029 in (0.7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2"/>
                <w:szCs w:val="22"/>
                <w:caps/>
                <w:rFonts w:ascii="Calibri" w:cs="Calibri" w:eastAsia="Calibri" w:hAnsi="Calibri"/>
              </w:rPr>
              <w:t xml:space="preserve">Government Hack™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caps w:val="false"/>
                <w:rFonts w:ascii="Calibri" w:cs="Calibri" w:eastAsia="Calibri" w:hAnsi="Calibri"/>
              </w:rPr>
              <w:t xml:space="preserve">Everything you need to teach the unit — with the supports already built in.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Unit 2 — Citizen Participation  ·  Teacher Edition</w:t>
            </w:r>
          </w:p>
        </w:tc>
      </w:tr>
    </w:tbl>
    <w:p>
      <w:pPr>
        <w:spacing w:before="200" w:after="3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  <w:caps/>
          <w:rFonts w:ascii="Calibri" w:cs="Calibri" w:eastAsia="Calibri" w:hAnsi="Calibri"/>
        </w:rPr>
        <w:t xml:space="preserve">WHAT’S IN THE TEACHER EDITION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One standard, one period.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 pacing map with honest per-activity time estimates and a menu — you choose what fills the 45 minutes; the rest become bell-ringers, stations, or homework.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The MTSS decision cycle.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Progress-monitor → identify barrier → select support → reteach → recheck → extend, with scaffold-fading guidance that never displaces IEP/504 accommodations.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Crosswalks that pass review.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Standards &amp; SSP crosswalk and a dimension-coverage crosswalk (C·E·G·H·P·T), plus a district review evidence snapshot.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The 6-point CER rubric.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same evidence-based-writing rubric used across the course, ready to score.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Answer keys — teacher-side only.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Practice-quiz keys with rationales and exit-ticket keys with “What’s Next” reteach routing, kept separate from student copies.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Deck + Cornell workflow.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How the Lean Student and Full Teacher decks pair with the workbook’s Cornell notes and primary-source analysis.</w:t>
      </w:r>
    </w:p>
    <w:p>
      <w:pPr>
        <w:spacing w:before="120" w:after="3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INSIDE THIS UNIT — each standard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GC.31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Responsibilities of Citizens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GC.32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Political Parties &amp; the Nomination Process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GC.33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Media &amp; Public Opinion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GC.34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Means of Political Participation</w:t>
      </w:r>
    </w:p>
    <w:p>
      <w:pPr>
        <w:spacing w:before="120" w:after="120"/>
        <w:jc w:val="left"/>
      </w:pPr>
      <w:r>
        <w:rPr>
          <w:b w:val="false"/>
          <w:bCs w:val="false"/>
          <w:i/>
          <w:iCs/>
          <w:color w:val="1A1A1A"/>
          <w:sz w:val="19"/>
          <w:szCs w:val="19"/>
          <w:caps w:val="false"/>
          <w:rFonts w:ascii="Calibri" w:cs="Calibri" w:eastAsia="Calibri" w:hAnsi="Calibri"/>
        </w:rPr>
        <w:t xml:space="preserve">Part of the Government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Government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  <w:caps w:val="false"/>
                <w:rFonts w:ascii="Calibri" w:cs="Calibri" w:eastAsia="Calibri" w:hAnsi="Calibri"/>
              </w:rPr>
              <w:t xml:space="preserve">© 2026 TroopToTeacher Technologies LLC. All rights reserved. Government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  <w:caps w:val="false"/>
                <w:rFonts w:ascii="Calibri" w:cs="Calibri" w:eastAsia="Calibri" w:hAnsi="Calibri"/>
              </w:rPr>
              <w:t xml:space="preserve">www.trooptoteacher.com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6B7280"/>
                      <w:sz w:val="18"/>
                      <w:szCs w:val="18"/>
                      <w:caps w:val="false"/>
                      <w:rFonts w:ascii="Calibri" w:cs="Calibri" w:eastAsia="Calibri" w:hAnsi="Calibri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B7280"/>
                      <w:sz w:val="16"/>
                      <w:szCs w:val="16"/>
                      <w:caps w:val="false"/>
                      <w:rFonts w:ascii="Calibri" w:cs="Calibri" w:eastAsia="Calibri" w:hAnsi="Calibri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/>
                      <w:iCs/>
                      <w:color w:val="6B7280"/>
                      <w:sz w:val="14"/>
                      <w:szCs w:val="14"/>
                      <w:caps w:val="false"/>
                      <w:rFonts w:ascii="Calibri" w:cs="Calibri" w:eastAsia="Calibri" w:hAnsi="Calibri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before="100" w:after="40"/>
        <w:jc w:val="left"/>
      </w:pPr>
      <w:r>
        <w:rPr>
          <w:b/>
          <w:bCs/>
          <w:i w:val="false"/>
          <w:iCs w:val="false"/>
          <w:color w:val="1B2A4A"/>
          <w:sz w:val="30"/>
          <w:szCs w:val="30"/>
          <w:caps/>
          <w:rFonts w:ascii="Calibri" w:cs="Calibri" w:eastAsia="Calibri" w:hAnsi="Calibri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before="100" w:after="120"/>
        <w:jc w:val="left"/>
      </w:pPr>
      <w:r>
        <w:rPr>
          <w:b w:val="false"/>
          <w:bCs w:val="false"/>
          <w:i/>
          <w:iCs/>
          <w:color w:val="6B7280"/>
          <w:sz w:val="19"/>
          <w:szCs w:val="19"/>
          <w:caps w:val="false"/>
          <w:rFonts w:ascii="Calibri" w:cs="Calibri" w:eastAsia="Calibri" w:hAnsi="Calibri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— Unit 2: Citizen Participation · Teacher How-to-Use &amp; MTSS Guide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13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Saddle-stitch (no printed spine) at 13 pp; spine ≈ 0.029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Grades 9–12 · U.S. Government &amp; Civics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teacher edition, lesson plans, MTSS, UDL, CER rubric, social studies practices, standards crosswalk, pacing guide, U.S. Government &amp; Civics, answer key</w:t>
            </w:r>
          </w:p>
        </w:tc>
      </w:tr>
    </w:tbl>
    <w:p>
      <w:pPr>
        <w:spacing w:before="180" w:after="7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BACK-COVER BLURB (for your storefront)</w:t>
      </w:r>
    </w:p>
    <w:p>
      <w:pPr>
        <w:spacing w:after="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Teacher Edition for Government Hack™ Unit 1 gives you the full teaching system: a one-standard-one-period pacing map with honest activity time estimates, the MTSS decision cycle, standards/SSP and dimension crosswalks, the 6-point CER rubric, teacher-side answer keys with reteach routing, and the deck-plus-Cornell workflow. Designed on UDL 3.0 so the rigor stays the same for every learner.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k9qr8sry3kduzntfm6skt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2026-07-29T20:56:28.226Z</dcterms:created>
  <dcterms:modified xsi:type="dcterms:W3CDTF">2026-07-29T20:56:28.226Z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