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Unit 5 — Teacher How-to-Use &amp; MTSS Guide</w:t>
      </w:r>
    </w:p>
    <w:p>
      <w:pPr>
        <w:spacing w:after="10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The Judicial Branch · Course Standard · GC.19–GC.22 · Grades 9–12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Release-Ready · Pilot Edition. This guide holds the answer key for teacher use only — keep it separate from student materials.</w:t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1. Firm Goals, Flexible Means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One firm learning goal per standard; flexible, universal means. Supports are available by design and never lower the goal. They work alongside — never in place of — required IEP or 504 accommodations.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The same six labels students see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Label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Meaning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CORE PATH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Essential instruction every student completes.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SUPPORT OPTION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Optional scaffold that keeps the goal, not lowers it.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LANGUAGE SUPPORT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Vocabulary, pronunciation, and Spanish cognates.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RESPONSE CHOICE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Write, say/record, or diagram.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PROGRESS CHECK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Quick DOK-2/3 check to guide reteach or extend.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EXTENSION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Deeper challenge once the goal is met.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2. Label-to-Action Table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5"/>
        <w:gridCol w:w="6747"/>
      </w:tblGrid>
      <w:tr>
        <w:trPr>
          <w:tblHeader/>
        </w:trP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When you see…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 this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CORE PATH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Teach to all; this is the standard expectation.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SUPPORT OPTION / Guided Back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Offer to any student; never assign by track.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LANGUAGE SUPPORT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Pre-teach Word Bank terms; use Spanish column for access.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PROGRESS CHECK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Collect a quick response; route with the Decision Cycle.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EXTENSION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Offer the higher-DOK CER/Extension Bank to anyone ready.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3. MTSS — Tiers of Support Intensity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3248"/>
        <w:gridCol w:w="4717"/>
      </w:tblGrid>
      <w:tr>
        <w:trPr>
          <w:tblHeader/>
        </w:trP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Tier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Who / when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In this unit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1 (Core)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All students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Full deck + workbook CORE PATH, Word Bank, Cornell Notes.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2 (Targeted)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Students missing a Progress Check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Guided Support Back, sentence frames, Rehearsal Lab.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3 (Intensive)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Persistent barrier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Pair Guided Back with IEP/504 supports; reteach a step.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4. The MTSS Decision Cycle</w:t>
      </w:r>
    </w:p>
    <w:p>
      <w:pPr>
        <w:spacing w:after="100"/>
      </w:pPr>
      <w:r>
        <w:rPr>
          <w:b/>
          <w:bCs/>
          <w:i w:val="false"/>
          <w:iCs w:val="false"/>
          <w:color w:val="1B2A4A"/>
          <w:sz w:val="24"/>
          <w:szCs w:val="24"/>
          <w:rFonts w:ascii="Calibri" w:cs="Calibri" w:eastAsia="Calibri" w:hAnsi="Calibri"/>
        </w:rPr>
        <w:t xml:space="preserve">PROGRESS CHECK → identify barrier → select support → reteach → recheck → extend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Scaffold fading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Fade Guided → Light → independent as evidence grows; reintroduce support for a new barrier. Required IEP/504 accommodations do not fade unless the authorized team changes them.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5. District Review Evidence Snapshot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1"/>
        <w:gridCol w:w="6341"/>
      </w:tblGrid>
      <w:tr>
        <w:trPr>
          <w:tblHeader/>
        </w:trP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Criterion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shows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Standards alignment (GC.19–GC.22)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Standards &amp; SSP Crosswalk; per-standard blocks.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Public-domain sources, cited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Library; Activity 5 each standard.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UDL 3.0 visible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Accessibility matrix; callouts throughout.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MTSS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This guide §3–4; wrap-up decision band in the Teacher Deck.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Assessment integrity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Answer key here (separate); de-biased positions.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6. Direct Teaching + Cornell Notes + Slide Deck Workflow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Project the Student (Lean) Deck; students take Cornell Notes on the Universal Front. The Teacher (Full) Deck carries Quick Reviews, Guided Practice, Checks for Understanding, and Answer Reveals.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Verified Lean Student Deck ranges (from the final 64-slide deck)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1928"/>
        <w:gridCol w:w="1928"/>
        <w:gridCol w:w="1471"/>
        <w:gridCol w:w="1522"/>
        <w:gridCol w:w="1522"/>
      </w:tblGrid>
      <w:tr>
        <w:trPr>
          <w:tblHeader/>
        </w:trP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Lean Deck range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Direct-teaching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Vocab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Primary source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Progress Check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GC.19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GC.20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GC.21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GC.22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7. What to Print and When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6544"/>
      </w:tblGrid>
      <w:tr>
        <w:trPr>
          <w:tblHeader/>
        </w:trP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Print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When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Cornell Universal Front (per standard)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Day 1 of each standard.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Guided / Light Support Backs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 request only; reverse of the front.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Practice Quiz + CER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After direct teaching, before the standard assessment.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Library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Once per unit for reference.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8. Per-Standard Lesson Sequence &amp; Pacing (one standard = one 45-minute period)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standard is taught in a single 45-minute period, but the workbook intentionally holds more activity than one period can fit — run them all and it is roughly 90–105 minutes. That is by design: you choose which activities fill your period, and the rest become bell-ringers, stations, homework, reteach, or extension. The estimates below are honest time-on-task for an average class; adjust for yours. Every workbook activity header shows the same ⏱ estimate so students can self-pace.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Honest activity time estimates (pick what fills your 45 minutes)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9"/>
        <w:gridCol w:w="913"/>
        <w:gridCol w:w="5530"/>
      </w:tblGrid>
      <w:tr>
        <w:trPr>
          <w:tblHeader/>
        </w:trP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~Time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Note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 launch (hook · goal · activate · predict)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Frames the learning target and the day.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1 — Vocabulary Word Bank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10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Reference + self-check + quick-write.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2 — Vocabulary Studio (Frayer)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One priority term, four quadrants.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3 — Cornell Notes (with slide deck)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20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Direct-teaching capture — front + processing back.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4 — Close Read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Passage, annotation, text-dependent questions.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5 — Primary Source / Data (HIPPO)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+ five HIPPO prompts + response.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6 — Practice Quiz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 few items + one short DOK-3 write.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7 — CER + Exit Ticket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CER organizer + paragraph (~12) and Exit Ticket (~3).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Run every activity and a standard totals ≈ 105 minutes (≈ 95 without a map) — about two periods of work compressed into a one-period design. So it is a menu, not a checklist.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fill the period — your call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You decide which activities run in class. A common choice is Launch → Cornell Notes with the deck → one analysis activity (Close Read or Primary Source) → the Exit Ticket, but nothing forces that set — pick what your class needs that day.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 Exit Ticket is the daily formative check; try to close every period with it (see §16 for the keys and reteach routing).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Whatever you do not run in class becomes a bell-ringer, station, early-finisher task, homework, reteach, or extension. Rigor stays the same for every learner; UDL/MTSS supports layer on without lowering the bar.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9. Assessment Source &amp; Item Metadata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standard’s Progress Check / Transfer Check is a Teacher-Deck Check for Understanding (DOK 2–3). The additional Practice-Quiz DOK-1 items are Government Hack-authored recall items. All items are pre-field-test (classroom-formative), not a secure TCAP form. Correct-answer positions are de-biased and identical across Student Progress Check, Teacher CFU/Reveal, and the workbook Transfer Check.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De-biased key distribution (Transfer Checks, GC.19–GC.22)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 · C · B · D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10. Practice Quiz — Answer Key &amp; Rationales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For teacher use only — keep separate from student copies.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GC.19 — Article III &amp; Judicial Power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u5-gc19-dok1-1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u1-gc19-dok2-tc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Life tenure ('good Behaviour') insulates judges from elections and political retaliation, so they can rule on the law without fear of losing their jobs.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GC.20 — Selecting &amp; Confirming Justices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u5-gc20-dok1-1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u1-gc20-dok2-tc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Article II gives the President the power to nominate and the Senate the power to confirm ('Advice and Consent') — a shared appointment power that checks both branches.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GC.21 — Judicial Review &amp; Marbury v. Madison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u5-gc21-dok1-1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u1-gc21-dok3-tc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3: Marshall reasoned that it is 'the province and duty of the judicial department to say what the law is,' and that a law 'repugnant to the constitution is void' — establishing judicial review.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GC.22 — Deciding What Is Constitutional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u5-gc22-dok1-1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u1-gc22-dok3-tc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3: Judicial activism describes judges more willing to overturn laws or make new policy (often via a 'living Constitution'); judicial restraint describes judges who defer to elected branches and original intent.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11. How CAST UDL 3.0 Is Visible in Unit 1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UDL principle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In this unit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Engagement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Response choice; Tennessee Connection relevance; optional extensions.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Representation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Word Bank + pronunciation + Spanish; Close-Read supports; HIPPO scaffold.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Action &amp; Expression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Write / say / diagram; Frayer studio; CER with rubric.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No fixed-track labels appear anywhere in the student materials; supports are universal and optional.</w:t>
      </w:r>
    </w:p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12. Printable Blank Templates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Reusable blank versions of the two most-printed student pages — print as many as you need for any lesson. Each is designed to fill one page; the Cornell notes are meant to print duplex with a support scaffold on the reverse.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Blank Cornell Notes — Universal Front (printable)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    Class / Period: __________    Date: __________    Topic: ______________________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LEARNING TARGET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I can __________________________________________________________________________________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  <w:rFonts w:ascii="Calibri" w:cs="Calibri" w:eastAsia="Calibri" w:hAnsi="Calibri"/>
              </w:rPr>
              <w:t xml:space="preserve">Guiding cues (about 25%)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My notes (about 75%)</w:t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The 25/75 split describes the approximate width of each writing column (label, not a fixed track).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Key terms to list</w:t>
            </w:r>
          </w:p>
        </w:tc>
      </w:tr>
      <w:tr>
        <w:trPr>
          <w:trHeight w:val="42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Summary — In your own words (2–3 sentences)</w:t>
            </w:r>
          </w:p>
        </w:tc>
      </w:tr>
      <w:tr>
        <w:trPr>
          <w:trHeight w:val="5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5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My 12–15 word headline</w:t>
            </w:r>
          </w:p>
        </w:tc>
      </w:tr>
      <w:tr>
        <w:trPr>
          <w:trHeight w:val="4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Print duplex: the Guided or Light Support for these notes goes on the reverse of this page.</w:t>
      </w:r>
    </w:p>
    <w:p>
      <w:r>
        <w:br w:type="page"/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Blank Vocabulary Studio — Frayer (printable)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RESPONSE CHOICE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Complete the studio by writing, speaking, or diagramming.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89B3C"/>
                <w:sz w:val="16"/>
                <w:szCs w:val="16"/>
                <w:rFonts w:ascii="Calibri" w:cs="Calibri" w:eastAsia="Calibri" w:hAnsi="Calibri"/>
              </w:rPr>
              <w:t xml:space="preserve">PRIORITY TERM</w:t>
            </w: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     __________________________     ES: __________________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Calibri" w:cs="Calibri" w:eastAsia="Calibri" w:hAnsi="Calibri"/>
        </w:rPr>
        <w:t xml:space="preserve">Word-bank meaning to build on: ______________________________________________________________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  <w:rFonts w:ascii="Calibri" w:cs="Calibri" w:eastAsia="Calibri" w:hAnsi="Calibri"/>
              </w:rPr>
              <w:t xml:space="preserve">Definition (in your own words)</w:t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Characteristics</w:t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Examples</w:t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Non-examples</w:t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Use it to explain — write one sentence that uses the term</w:t>
            </w:r>
          </w:p>
        </w:tc>
      </w:tr>
      <w:tr>
        <w:trPr>
          <w:trHeight w:val="52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13. Social Studies Practices (SSP) Crosswalk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activity in the seven-activity cycle builds specific Tennessee Social Studies Practices. Every SSP.01–SSP.06 is covered within each standard’s cycle.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1928"/>
        <w:gridCol w:w="4616"/>
      </w:tblGrid>
      <w:tr>
        <w:trPr>
          <w:tblHeader/>
        </w:trP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Builds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Practice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Cornell Notes (Activity 3)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SSP.05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Develop historical awareness — sequence events, recognize cause &amp; effect.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Close Read (Activity 4)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SSP.03 · SSP.05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Synthesize data from multiple sources; historical awareness.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Primary Source / HIPPO (Activity 5)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SSP.01 · SSP.02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Gather, analyze, and evaluate sources; critically examine a source for point of view, bias, context.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Geographer’s Lens (G-tagged standards)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SSP.06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Analyze relationships among geography, economics, and society across time and place.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Practice Quiz (Activity 6)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SSP.01–06 (assessed)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Applied across items.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CER (Activity 7)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SSP.04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Construct and communicate arguments citing supporting evidence.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Coverage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All six practices (SSP.01–SSP.06) are built within every standard’s cycle.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14. Standard Dimension Coverage (C · E · G · H · P · T · TCA)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TN standard carries dimension tags. This crosswalk shows where each dimension is taught within the standard — evidence of full coverage for adoption review. Students see these as plain-language “lenses” on each standard’s opening page.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GC.19 — Article III &amp; Judicial Power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Politics/Government (P)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judicial independence is built into the design of Article III.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GC.20 — Selecting &amp; Confirming Justices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Politics/Government (P)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the shared appointment power checks both the President and the Senate.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GC.21 — Judicial Review &amp; Marbury v. Madison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History (H)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Marbury (1803) reshaped the balance of power among the three branches.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(T)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Judicial review later let a Tennessee case, Baker v. Carr, reach the Court.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GC.22 — Deciding What Is Constitutional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(T)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cases, like Baker v. Carr, have tested the reach of the Court's power to decide constitutionality.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15. Constructed Response (CER) — 6-Point Rubric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course’s canonical constructed-response scale. Student materials use the simple Full / Developing / Beginning per part; teachers score with the 6-point guide below (aligns with the DBQ/CER rubric bank).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1725"/>
        <w:gridCol w:w="7255"/>
      </w:tblGrid>
      <w:tr>
        <w:trPr>
          <w:tblHeader/>
        </w:trP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Score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Level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What it looks like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Exemplary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Defensible, insightful claim; TWO or more precise, accurate pieces of evidence; reasoning fully explains HOW the evidence proves the claim; cohesive and sophisticated.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Advanced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Clear claim; strong, accurate evidence; reasoning explains the link with only minor gaps.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Proficient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Adequate claim; some specific evidence; reasoning present but general.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Adequate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Basic claim; limited or partly accurate evidence; reasoning thin.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Developing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Vague claim; little evidence; evidence largely unexplained.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Beginning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 clear claim; little or no evidence; no reasoning.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Swap in your bank’s exact CER rubric text if it differs; the 6-point scale (6 Exemplary → 1 Beginning) is the course convention.</w:t>
      </w:r>
    </w:p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16. Exit Ticket Answer Keys + What’s Next (reteach)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For teacher use only — keep separate from student copies. Each standard’s Exit Ticket (end of the standard, on the CER page) with its key and reteach routing. Items are pre-field-test.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1928"/>
        <w:gridCol w:w="710"/>
        <w:gridCol w:w="710"/>
        <w:gridCol w:w="5531"/>
      </w:tblGrid>
      <w:tr>
        <w:trPr>
          <w:tblHeader/>
        </w:trPr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53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What’s Next if a student misses it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24" w:bottom="1152" w:left="122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b w:val="false"/>
        <w:bCs w:val="false"/>
        <w:i w:val="false"/>
        <w:iCs w:val="false"/>
        <w:color w:val="6B7280"/>
        <w:sz w:val="15"/>
        <w:szCs w:val="15"/>
        <w:rFonts w:ascii="Calibri" w:cs="Calibri" w:eastAsia="Calibri" w:hAnsi="Calibri"/>
      </w:rPr>
      <w:t xml:space="preserve">Government Hack™ · Unit 5 Teacher Guide   © 2026 TroopToTeacher Technologies LLC   |   Page </w:t>
    </w:r>
    <w:r>
      <w:rPr>
        <w:b/>
        <w:bCs/>
        <w:color w:val="6B7280"/>
        <w:sz w:val="15"/>
        <w:szCs w:val="15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rFonts w:ascii="Calibri" w:cs="Calibri" w:eastAsia="Calibri" w:hAnsi="Calibri"/>
      </w:rPr>
      <w:t xml:space="preserve">Government Hack™ · Unit 5 Teacher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before="220" w:after="90"/>
      <w:outlineLvl w:val="0"/>
    </w:pPr>
    <w:rPr>
      <w:b/>
      <w:bCs/>
      <w:color w:val="1B2A4A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keepNext/>
      <w:spacing w:before="150" w:after="80"/>
      <w:outlineLvl w:val="1"/>
    </w:pPr>
    <w:rPr>
      <w:b/>
      <w:bCs/>
      <w:color w:val="1B2A4A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pPr>
      <w:keepNext/>
      <w:spacing w:before="120" w:after="70"/>
      <w:outlineLvl w:val="2"/>
    </w:pPr>
    <w:rPr>
      <w:b/>
      <w:bCs/>
      <w:color w:val="B22234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Hack — Unit 5 Teacher How-to-Use &amp; MTSS Guide</dc:title>
  <dc:creator>TroopToTeacher Technologies LLC</dc:creator>
  <cp:lastModifiedBy>Un-named</cp:lastModifiedBy>
  <cp:revision>1</cp:revision>
  <dcterms:created xsi:type="dcterms:W3CDTF">2026-07-30T11:52:12.771Z</dcterms:created>
  <dcterms:modified xsi:type="dcterms:W3CDTF">2026-07-30T11:52:12.772Z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