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5</w:t>
      </w:r>
    </w:p>
    <w:p>
      <w:pPr>
        <w:spacing w:after="120"/>
        <w:jc w:val="center"/>
      </w:pPr>
      <w:r>
        <w:rPr>
          <w:b/>
          <w:bCs/>
          <w:i w:val="false"/>
          <w:iCs w:val="false"/>
          <w:color w:val="1B2A4A"/>
          <w:sz w:val="48"/>
          <w:szCs w:val="48"/>
          <w:caps w:val="false"/>
          <w:rFonts w:ascii="Calibri" w:cs="Calibri" w:eastAsia="Calibri" w:hAnsi="Calibri"/>
        </w:rPr>
        <w:t xml:space="preserve">The Judicial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can unelected judges check the other branches — and what limits their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GC.19 — Article III &amp; Judicial Power</w:t>
      </w:r>
    </w:p>
    <w:p>
      <w:pPr>
        <w:spacing w:after="60"/>
      </w:pPr>
      <w:r>
        <w:rPr>
          <w:b/>
          <w:bCs/>
          <w:i w:val="false"/>
          <w:iCs w:val="false"/>
          <w:color w:val="1A1A1A"/>
          <w:sz w:val="33"/>
          <w:szCs w:val="33"/>
          <w:caps w:val="false"/>
          <w:rFonts w:ascii="Calibri" w:cs="Calibri" w:eastAsia="Calibri" w:hAnsi="Calibri"/>
        </w:rPr>
        <w:t xml:space="preserve">TN Academic Standard GC.19: </w:t>
      </w:r>
      <w:r>
        <w:rPr>
          <w:b w:val="false"/>
          <w:bCs w:val="false"/>
          <w:i w:val="false"/>
          <w:iCs w:val="false"/>
          <w:color w:val="1A1A1A"/>
          <w:sz w:val="33"/>
          <w:szCs w:val="33"/>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III — the judicial power, the tenure of judges, and the jurisdiction of the Supreme Court..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Jurisdiction</w:t>
            </w:r>
            <w:r>
              <w:rPr>
                <w:b w:val="false"/>
                <w:bCs w:val="false"/>
                <w:i w:val="false"/>
                <w:iCs w:val="false"/>
                <w:color w:val="D9D5C8"/>
                <w:sz w:val="27"/>
                <w:szCs w:val="27"/>
                <w:caps w:val="false"/>
                <w:rFonts w:ascii="Calibri" w:cs="Calibri" w:eastAsia="Calibri" w:hAnsi="Calibri"/>
              </w:rPr>
              <w:t xml:space="preserve">      ·   ES: jurisdicción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“Jurisdiction”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Appellate Jurisdiction</w:t>
            </w:r>
            <w:r>
              <w:rPr>
                <w:b w:val="false"/>
                <w:bCs w:val="false"/>
                <w:i w:val="false"/>
                <w:iCs w:val="false"/>
                <w:color w:val="D9D5C8"/>
                <w:sz w:val="27"/>
                <w:szCs w:val="27"/>
                <w:caps w:val="false"/>
                <w:rFonts w:ascii="Calibri" w:cs="Calibri" w:eastAsia="Calibri" w:hAnsi="Calibri"/>
              </w:rPr>
              <w:t xml:space="preserve">      ·   ES: jurisdicción de apelación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“Appellate Jurisdiction”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32"/>
                <w:szCs w:val="32"/>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32"/>
                <w:szCs w:val="32"/>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32"/>
                <w:szCs w:val="32"/>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32"/>
                <w:szCs w:val="32"/>
                <w:caps w:val="false"/>
                <w:rFonts w:ascii="Calibri" w:cs="Calibri" w:eastAsia="Calibri" w:hAnsi="Calibri"/>
              </w:rPr>
              <w:t xml:space="preserve">D.   Because judges must also serve in Congress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original and appellate jurisdiction?</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u5-gc19-dok1-1 · pre-field-test]</w:t>
      </w:r>
    </w:p>
    <w:p>
      <w:pPr>
        <w:spacing w:after="100"/>
      </w:pPr>
      <w:r>
        <w:rPr>
          <w:b/>
          <w:bCs/>
          <w:i w:val="false"/>
          <w:iCs w:val="false"/>
          <w:color w:val="1A1A1A"/>
          <w:sz w:val="32"/>
          <w:szCs w:val="32"/>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30"/>
          <w:szCs w:val="30"/>
          <w:caps w:val="false"/>
          <w:rFonts w:ascii="Calibri" w:cs="Calibri" w:eastAsia="Calibri" w:hAnsi="Calibri"/>
        </w:rPr>
        <w:t xml:space="preserve">A. A national election</w:t>
      </w:r>
    </w:p>
    <w:p>
      <w:pPr>
        <w:spacing w:after="20"/>
        <w:ind w:left="260"/>
      </w:pPr>
      <w:r>
        <w:rPr>
          <w:b w:val="false"/>
          <w:bCs w:val="false"/>
          <w:i w:val="false"/>
          <w:iCs w:val="false"/>
          <w:color w:val="1A1A1A"/>
          <w:sz w:val="30"/>
          <w:szCs w:val="30"/>
          <w:caps w:val="false"/>
          <w:rFonts w:ascii="Calibri" w:cs="Calibri" w:eastAsia="Calibri" w:hAnsi="Calibri"/>
        </w:rPr>
        <w:t xml:space="preserve">B. Impeachment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alone</w:t>
      </w:r>
    </w:p>
    <w:p>
      <w:pPr>
        <w:spacing w:after="20"/>
        <w:ind w:left="260"/>
      </w:pPr>
      <w:r>
        <w:rPr>
          <w:b w:val="false"/>
          <w:bCs w:val="false"/>
          <w:i w:val="false"/>
          <w:iCs w:val="false"/>
          <w:color w:val="1A1A1A"/>
          <w:sz w:val="30"/>
          <w:szCs w:val="30"/>
          <w:caps w:val="false"/>
          <w:rFonts w:ascii="Calibri" w:cs="Calibri" w:eastAsia="Calibri" w:hAnsi="Calibri"/>
        </w:rPr>
        <w:t xml:space="preserve">D. A state legislature</w:t>
      </w:r>
    </w:p>
    <w:p>
      <w:pPr>
        <w:spacing w:after="100"/>
      </w:pPr>
      <w:r>
        <w:rPr>
          <w:b/>
          <w:bCs/>
          <w:i w:val="false"/>
          <w:iCs w:val="false"/>
          <w:color w:val="6B7280"/>
          <w:sz w:val="27"/>
          <w:szCs w:val="27"/>
          <w:caps w:val="false"/>
          <w:rFonts w:ascii="Calibri" w:cs="Calibri" w:eastAsia="Calibri" w:hAnsi="Calibri"/>
        </w:rPr>
        <w:t xml:space="preserve">[DOK 2 · item u1-gc19-dok2-tc · pre-field-test]</w:t>
      </w:r>
    </w:p>
    <w:p>
      <w:pPr>
        <w:spacing w:after="100"/>
      </w:pPr>
      <w:r>
        <w:rPr>
          <w:b/>
          <w:bCs/>
          <w:i w:val="false"/>
          <w:iCs w:val="false"/>
          <w:color w:val="1A1A1A"/>
          <w:sz w:val="32"/>
          <w:szCs w:val="32"/>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30"/>
          <w:szCs w:val="3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30"/>
          <w:szCs w:val="3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30"/>
          <w:szCs w:val="3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GC.20 — Selecting &amp; Confirming Justices</w:t>
      </w:r>
    </w:p>
    <w:p>
      <w:pPr>
        <w:spacing w:after="60"/>
      </w:pPr>
      <w:r>
        <w:rPr>
          <w:b/>
          <w:bCs/>
          <w:i w:val="false"/>
          <w:iCs w:val="false"/>
          <w:color w:val="1A1A1A"/>
          <w:sz w:val="33"/>
          <w:szCs w:val="33"/>
          <w:caps w:val="false"/>
          <w:rFonts w:ascii="Calibri" w:cs="Calibri" w:eastAsia="Calibri" w:hAnsi="Calibri"/>
        </w:rPr>
        <w:t xml:space="preserve">TN Academic Standard GC.20: </w:t>
      </w:r>
      <w:r>
        <w:rPr>
          <w:b w:val="false"/>
          <w:bCs w:val="false"/>
          <w:i w:val="false"/>
          <w:iCs w:val="false"/>
          <w:color w:val="1A1A1A"/>
          <w:sz w:val="33"/>
          <w:szCs w:val="33"/>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how a Supreme Court justice is nominated by the President and confirmed by the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Nomination</w:t>
            </w:r>
            <w:r>
              <w:rPr>
                <w:b w:val="false"/>
                <w:bCs w:val="false"/>
                <w:i w:val="false"/>
                <w:iCs w:val="false"/>
                <w:color w:val="D9D5C8"/>
                <w:sz w:val="27"/>
                <w:szCs w:val="27"/>
                <w:caps w:val="false"/>
                <w:rFonts w:ascii="Calibri" w:cs="Calibri" w:eastAsia="Calibri" w:hAnsi="Calibri"/>
              </w:rPr>
              <w:t xml:space="preserve">      ·   ES: nominación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“Nomination”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Confirmation</w:t>
            </w:r>
            <w:r>
              <w:rPr>
                <w:b w:val="false"/>
                <w:bCs w:val="false"/>
                <w:i w:val="false"/>
                <w:iCs w:val="false"/>
                <w:color w:val="D9D5C8"/>
                <w:sz w:val="27"/>
                <w:szCs w:val="27"/>
                <w:caps w:val="false"/>
                <w:rFonts w:ascii="Calibri" w:cs="Calibri" w:eastAsia="Calibri" w:hAnsi="Calibri"/>
              </w:rPr>
              <w:t xml:space="preserve">      ·   ES: confirmación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“Confirmation”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32"/>
                <w:szCs w:val="32"/>
                <w:caps w:val="false"/>
                <w:rFonts w:ascii="Calibri" w:cs="Calibri" w:eastAsia="Calibri" w:hAnsi="Calibri"/>
              </w:rPr>
              <w:t xml:space="preserve">A.   The House and the Senate</w:t>
            </w:r>
          </w:p>
          <w:p>
            <w:pPr>
              <w:spacing w:after="30"/>
              <w:ind w:left="360"/>
            </w:pPr>
            <w:r>
              <w:rPr>
                <w:b w:val="false"/>
                <w:bCs w:val="false"/>
                <w:i w:val="false"/>
                <w:iCs w:val="false"/>
                <w:color w:val="1A1A1A"/>
                <w:sz w:val="32"/>
                <w:szCs w:val="32"/>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32"/>
                <w:szCs w:val="32"/>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32"/>
                <w:szCs w:val="32"/>
                <w:caps w:val="false"/>
                <w:rFonts w:ascii="Calibri" w:cs="Calibri" w:eastAsia="Calibri" w:hAnsi="Calibri"/>
              </w:rPr>
              <w:t xml:space="preserve">D.   The states and the Supreme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 Why are confirmations so high-stakes, given how long a justice can serve?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John Jay · Gilbert Stuart · 1794</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u5-gc20-dok1-1 · pre-field-test]</w:t>
      </w:r>
    </w:p>
    <w:p>
      <w:pPr>
        <w:spacing w:after="100"/>
      </w:pPr>
      <w:r>
        <w:rPr>
          <w:b/>
          <w:bCs/>
          <w:i w:val="false"/>
          <w:iCs w:val="false"/>
          <w:color w:val="1A1A1A"/>
          <w:sz w:val="32"/>
          <w:szCs w:val="32"/>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30"/>
          <w:szCs w:val="30"/>
          <w:caps w:val="false"/>
          <w:rFonts w:ascii="Calibri" w:cs="Calibri" w:eastAsia="Calibri" w:hAnsi="Calibri"/>
        </w:rPr>
        <w:t xml:space="preserve">A. The House</w:t>
      </w:r>
    </w:p>
    <w:p>
      <w:pPr>
        <w:spacing w:after="20"/>
        <w:ind w:left="260"/>
      </w:pPr>
      <w:r>
        <w:rPr>
          <w:b w:val="false"/>
          <w:bCs w:val="false"/>
          <w:i w:val="false"/>
          <w:iCs w:val="false"/>
          <w:color w:val="1A1A1A"/>
          <w:sz w:val="30"/>
          <w:szCs w:val="30"/>
          <w:caps w:val="false"/>
          <w:rFonts w:ascii="Calibri" w:cs="Calibri" w:eastAsia="Calibri" w:hAnsi="Calibri"/>
        </w:rPr>
        <w:t xml:space="preserve">B. The Senate</w:t>
      </w:r>
    </w:p>
    <w:p>
      <w:pPr>
        <w:spacing w:after="20"/>
        <w:ind w:left="260"/>
      </w:pPr>
      <w:r>
        <w:rPr>
          <w:b w:val="false"/>
          <w:bCs w:val="false"/>
          <w:i w:val="false"/>
          <w:iCs w:val="false"/>
          <w:color w:val="1A1A1A"/>
          <w:sz w:val="30"/>
          <w:szCs w:val="30"/>
          <w:caps w:val="false"/>
          <w:rFonts w:ascii="Calibri" w:cs="Calibri" w:eastAsia="Calibri" w:hAnsi="Calibri"/>
        </w:rPr>
        <w:t xml:space="preserve">C. The states</w:t>
      </w:r>
    </w:p>
    <w:p>
      <w:pPr>
        <w:spacing w:after="20"/>
        <w:ind w:left="260"/>
      </w:pPr>
      <w:r>
        <w:rPr>
          <w:b w:val="false"/>
          <w:bCs w:val="false"/>
          <w:i w:val="false"/>
          <w:iCs w:val="false"/>
          <w:color w:val="1A1A1A"/>
          <w:sz w:val="30"/>
          <w:szCs w:val="30"/>
          <w:caps w:val="false"/>
          <w:rFonts w:ascii="Calibri" w:cs="Calibri" w:eastAsia="Calibri" w:hAnsi="Calibri"/>
        </w:rPr>
        <w:t xml:space="preserve">D. The current justices</w:t>
      </w:r>
    </w:p>
    <w:p>
      <w:pPr>
        <w:spacing w:after="100"/>
      </w:pPr>
      <w:r>
        <w:rPr>
          <w:b/>
          <w:bCs/>
          <w:i w:val="false"/>
          <w:iCs w:val="false"/>
          <w:color w:val="6B7280"/>
          <w:sz w:val="27"/>
          <w:szCs w:val="27"/>
          <w:caps w:val="false"/>
          <w:rFonts w:ascii="Calibri" w:cs="Calibri" w:eastAsia="Calibri" w:hAnsi="Calibri"/>
        </w:rPr>
        <w:t xml:space="preserve">[DOK 2 · item u1-gc20-dok2-tc · pre-field-test]</w:t>
      </w:r>
    </w:p>
    <w:p>
      <w:pPr>
        <w:spacing w:after="100"/>
      </w:pPr>
      <w:r>
        <w:rPr>
          <w:b/>
          <w:bCs/>
          <w:i w:val="false"/>
          <w:iCs w:val="false"/>
          <w:color w:val="1A1A1A"/>
          <w:sz w:val="32"/>
          <w:szCs w:val="32"/>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30"/>
          <w:szCs w:val="30"/>
          <w:caps w:val="false"/>
          <w:rFonts w:ascii="Calibri" w:cs="Calibri" w:eastAsia="Calibri" w:hAnsi="Calibri"/>
        </w:rPr>
        <w:t xml:space="preserve">A. The House and the Senate</w:t>
      </w:r>
    </w:p>
    <w:p>
      <w:pPr>
        <w:spacing w:after="20"/>
        <w:ind w:left="260"/>
      </w:pPr>
      <w:r>
        <w:rPr>
          <w:b w:val="false"/>
          <w:bCs w:val="false"/>
          <w:i w:val="false"/>
          <w:iCs w:val="false"/>
          <w:color w:val="1A1A1A"/>
          <w:sz w:val="30"/>
          <w:szCs w:val="3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30"/>
          <w:szCs w:val="30"/>
          <w:caps w:val="false"/>
          <w:rFonts w:ascii="Calibri" w:cs="Calibri" w:eastAsia="Calibri" w:hAnsi="Calibri"/>
        </w:rPr>
        <w:t xml:space="preserve">D. The states and the Supreme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GC.21 — Judicial Review &amp; Marbury v. Madison</w:t>
      </w:r>
    </w:p>
    <w:p>
      <w:pPr>
        <w:spacing w:after="60"/>
      </w:pPr>
      <w:r>
        <w:rPr>
          <w:b/>
          <w:bCs/>
          <w:i w:val="false"/>
          <w:iCs w:val="false"/>
          <w:color w:val="1A1A1A"/>
          <w:sz w:val="33"/>
          <w:szCs w:val="33"/>
          <w:caps w:val="false"/>
          <w:rFonts w:ascii="Calibri" w:cs="Calibri" w:eastAsia="Calibri" w:hAnsi="Calibri"/>
        </w:rPr>
        <w:t xml:space="preserve">TN Academic Standard GC.21: </w:t>
      </w:r>
      <w:r>
        <w:rPr>
          <w:b w:val="false"/>
          <w:bCs w:val="false"/>
          <w:i w:val="false"/>
          <w:iCs w:val="false"/>
          <w:color w:val="1A1A1A"/>
          <w:sz w:val="33"/>
          <w:szCs w:val="33"/>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judicial review and how Marbury v. Madison (1803) established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Precedent</w:t>
            </w:r>
            <w:r>
              <w:rPr>
                <w:b w:val="false"/>
                <w:bCs w:val="false"/>
                <w:i w:val="false"/>
                <w:iCs w:val="false"/>
                <w:color w:val="D9D5C8"/>
                <w:sz w:val="27"/>
                <w:szCs w:val="27"/>
                <w:caps w:val="false"/>
                <w:rFonts w:ascii="Calibri" w:cs="Calibri" w:eastAsia="Calibri" w:hAnsi="Calibri"/>
              </w:rPr>
              <w:t xml:space="preserve">      ·   ES: precedente</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“Precedent”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32"/>
                <w:szCs w:val="32"/>
                <w:caps w:val="false"/>
                <w:rFonts w:ascii="Calibri" w:cs="Calibri" w:eastAsia="Calibri" w:hAnsi="Calibri"/>
              </w:rPr>
              <w:t xml:space="preserve">C.   The power to collect taxes</w:t>
            </w:r>
          </w:p>
          <w:p>
            <w:pPr>
              <w:spacing w:after="30"/>
              <w:ind w:left="360"/>
            </w:pPr>
            <w:r>
              <w:rPr>
                <w:b w:val="false"/>
                <w:bCs w:val="false"/>
                <w:i w:val="false"/>
                <w:iCs w:val="false"/>
                <w:color w:val="1A1A1A"/>
                <w:sz w:val="32"/>
                <w:szCs w:val="32"/>
                <w:caps w:val="false"/>
                <w:rFonts w:ascii="Calibri" w:cs="Calibri" w:eastAsia="Calibri" w:hAnsi="Calibri"/>
              </w:rPr>
              <w:t xml:space="preserve">D.   The power to declare war</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 How did Marbury v. Madison change the power of the judicial branch?</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u5-gc21-dok1-1 · pre-field-test]</w:t>
      </w:r>
    </w:p>
    <w:p>
      <w:pPr>
        <w:spacing w:after="100"/>
      </w:pPr>
      <w:r>
        <w:rPr>
          <w:b/>
          <w:bCs/>
          <w:i w:val="false"/>
          <w:iCs w:val="false"/>
          <w:color w:val="1A1A1A"/>
          <w:sz w:val="32"/>
          <w:szCs w:val="32"/>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30"/>
          <w:szCs w:val="30"/>
          <w:caps w:val="false"/>
          <w:rFonts w:ascii="Calibri" w:cs="Calibri" w:eastAsia="Calibri" w:hAnsi="Calibri"/>
        </w:rPr>
        <w:t xml:space="preserve">A. McCulloch v. Maryland</w:t>
      </w:r>
    </w:p>
    <w:p>
      <w:pPr>
        <w:spacing w:after="20"/>
        <w:ind w:left="260"/>
      </w:pPr>
      <w:r>
        <w:rPr>
          <w:b w:val="false"/>
          <w:bCs w:val="false"/>
          <w:i w:val="false"/>
          <w:iCs w:val="false"/>
          <w:color w:val="1A1A1A"/>
          <w:sz w:val="30"/>
          <w:szCs w:val="30"/>
          <w:caps w:val="false"/>
          <w:rFonts w:ascii="Calibri" w:cs="Calibri" w:eastAsia="Calibri" w:hAnsi="Calibri"/>
        </w:rPr>
        <w:t xml:space="preserve">B. Baker v. Carr</w:t>
      </w:r>
    </w:p>
    <w:p>
      <w:pPr>
        <w:spacing w:after="20"/>
        <w:ind w:left="260"/>
      </w:pPr>
      <w:r>
        <w:rPr>
          <w:b w:val="false"/>
          <w:bCs w:val="false"/>
          <w:i w:val="false"/>
          <w:iCs w:val="false"/>
          <w:color w:val="1A1A1A"/>
          <w:sz w:val="30"/>
          <w:szCs w:val="30"/>
          <w:caps w:val="false"/>
          <w:rFonts w:ascii="Calibri" w:cs="Calibri" w:eastAsia="Calibri" w:hAnsi="Calibri"/>
        </w:rPr>
        <w:t xml:space="preserve">C. Marbury v. Madison</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3 · item u1-gc21-dok3-tc · pre-field-test]</w:t>
      </w:r>
    </w:p>
    <w:p>
      <w:pPr>
        <w:spacing w:after="100"/>
      </w:pPr>
      <w:r>
        <w:rPr>
          <w:b/>
          <w:bCs/>
          <w:i w:val="false"/>
          <w:iCs w:val="false"/>
          <w:color w:val="1A1A1A"/>
          <w:sz w:val="32"/>
          <w:szCs w:val="32"/>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30"/>
          <w:szCs w:val="30"/>
          <w:caps w:val="false"/>
          <w:rFonts w:ascii="Calibri" w:cs="Calibri" w:eastAsia="Calibri" w:hAnsi="Calibri"/>
        </w:rPr>
        <w:t xml:space="preserve">C. The power to collect taxes</w:t>
      </w:r>
    </w:p>
    <w:p>
      <w:pPr>
        <w:spacing w:after="20"/>
        <w:ind w:left="260"/>
      </w:pPr>
      <w:r>
        <w:rPr>
          <w:b w:val="false"/>
          <w:bCs w:val="false"/>
          <w:i w:val="false"/>
          <w:iCs w:val="false"/>
          <w:color w:val="1A1A1A"/>
          <w:sz w:val="30"/>
          <w:szCs w:val="30"/>
          <w:caps w:val="false"/>
          <w:rFonts w:ascii="Calibri" w:cs="Calibri" w:eastAsia="Calibri" w:hAnsi="Calibri"/>
        </w:rPr>
        <w:t xml:space="preserve">D. The power to declare war</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GC.22 — Deciding What Is Constitutional</w:t>
      </w:r>
    </w:p>
    <w:p>
      <w:pPr>
        <w:spacing w:after="60"/>
      </w:pPr>
      <w:r>
        <w:rPr>
          <w:b/>
          <w:bCs/>
          <w:i w:val="false"/>
          <w:iCs w:val="false"/>
          <w:color w:val="1A1A1A"/>
          <w:sz w:val="33"/>
          <w:szCs w:val="33"/>
          <w:caps w:val="false"/>
          <w:rFonts w:ascii="Calibri" w:cs="Calibri" w:eastAsia="Calibri" w:hAnsi="Calibri"/>
        </w:rPr>
        <w:t xml:space="preserve">TN Academic Standard GC.22: </w:t>
      </w:r>
      <w:r>
        <w:rPr>
          <w:b w:val="false"/>
          <w:bCs w:val="false"/>
          <w:i w:val="false"/>
          <w:iCs w:val="false"/>
          <w:color w:val="1A1A1A"/>
          <w:sz w:val="33"/>
          <w:szCs w:val="33"/>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how the Supreme Court decides constitutionality, and explain judicial activism and restraint..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Activism</w:t>
            </w:r>
            <w:r>
              <w:rPr>
                <w:b w:val="false"/>
                <w:bCs w:val="false"/>
                <w:i w:val="false"/>
                <w:iCs w:val="false"/>
                <w:color w:val="D9D5C8"/>
                <w:sz w:val="27"/>
                <w:szCs w:val="27"/>
                <w:caps w:val="false"/>
                <w:rFonts w:ascii="Calibri" w:cs="Calibri" w:eastAsia="Calibri" w:hAnsi="Calibri"/>
              </w:rPr>
              <w:t xml:space="preserve">      ·   ES: activismo judicial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Activism”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Restraint</w:t>
            </w:r>
            <w:r>
              <w:rPr>
                <w:b w:val="false"/>
                <w:bCs w:val="false"/>
                <w:i w:val="false"/>
                <w:iCs w:val="false"/>
                <w:color w:val="D9D5C8"/>
                <w:sz w:val="27"/>
                <w:szCs w:val="27"/>
                <w:caps w:val="false"/>
                <w:rFonts w:ascii="Calibri" w:cs="Calibri" w:eastAsia="Calibri" w:hAnsi="Calibri"/>
              </w:rPr>
              <w:t xml:space="preserve">      ·   ES: moderación judicial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Restraint”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32"/>
                <w:szCs w:val="32"/>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32"/>
                <w:szCs w:val="32"/>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32"/>
                <w:szCs w:val="32"/>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32"/>
                <w:szCs w:val="32"/>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 How does the Supremacy Clause support the Court's power to strike down conflicting laws?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u5-gc22-dok1-1 · pre-field-test]</w:t>
      </w:r>
    </w:p>
    <w:p>
      <w:pPr>
        <w:spacing w:after="100"/>
      </w:pPr>
      <w:r>
        <w:rPr>
          <w:b/>
          <w:bCs/>
          <w:i w:val="false"/>
          <w:iCs w:val="false"/>
          <w:color w:val="1A1A1A"/>
          <w:sz w:val="32"/>
          <w:szCs w:val="32"/>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30"/>
          <w:szCs w:val="30"/>
          <w:caps w:val="false"/>
          <w:rFonts w:ascii="Calibri" w:cs="Calibri" w:eastAsia="Calibri" w:hAnsi="Calibri"/>
        </w:rPr>
        <w:t xml:space="preserve">A. Four</w:t>
      </w:r>
    </w:p>
    <w:p>
      <w:pPr>
        <w:spacing w:after="20"/>
        <w:ind w:left="260"/>
      </w:pPr>
      <w:r>
        <w:rPr>
          <w:b w:val="false"/>
          <w:bCs w:val="false"/>
          <w:i w:val="false"/>
          <w:iCs w:val="false"/>
          <w:color w:val="1A1A1A"/>
          <w:sz w:val="30"/>
          <w:szCs w:val="30"/>
          <w:caps w:val="false"/>
          <w:rFonts w:ascii="Calibri" w:cs="Calibri" w:eastAsia="Calibri" w:hAnsi="Calibri"/>
        </w:rPr>
        <w:t xml:space="preserve">B. Five</w:t>
      </w:r>
    </w:p>
    <w:p>
      <w:pPr>
        <w:spacing w:after="20"/>
        <w:ind w:left="260"/>
      </w:pPr>
      <w:r>
        <w:rPr>
          <w:b w:val="false"/>
          <w:bCs w:val="false"/>
          <w:i w:val="false"/>
          <w:iCs w:val="false"/>
          <w:color w:val="1A1A1A"/>
          <w:sz w:val="30"/>
          <w:szCs w:val="30"/>
          <w:caps w:val="false"/>
          <w:rFonts w:ascii="Calibri" w:cs="Calibri" w:eastAsia="Calibri" w:hAnsi="Calibri"/>
        </w:rPr>
        <w:t xml:space="preserve">C. Six</w:t>
      </w:r>
    </w:p>
    <w:p>
      <w:pPr>
        <w:spacing w:after="20"/>
        <w:ind w:left="260"/>
      </w:pPr>
      <w:r>
        <w:rPr>
          <w:b w:val="false"/>
          <w:bCs w:val="false"/>
          <w:i w:val="false"/>
          <w:iCs w:val="false"/>
          <w:color w:val="1A1A1A"/>
          <w:sz w:val="30"/>
          <w:szCs w:val="30"/>
          <w:caps w:val="false"/>
          <w:rFonts w:ascii="Calibri" w:cs="Calibri" w:eastAsia="Calibri" w:hAnsi="Calibri"/>
        </w:rPr>
        <w:t xml:space="preserve">D. Nine</w:t>
      </w:r>
    </w:p>
    <w:p>
      <w:pPr>
        <w:spacing w:after="100"/>
      </w:pPr>
      <w:r>
        <w:rPr>
          <w:b/>
          <w:bCs/>
          <w:i w:val="false"/>
          <w:iCs w:val="false"/>
          <w:color w:val="6B7280"/>
          <w:sz w:val="27"/>
          <w:szCs w:val="27"/>
          <w:caps w:val="false"/>
          <w:rFonts w:ascii="Calibri" w:cs="Calibri" w:eastAsia="Calibri" w:hAnsi="Calibri"/>
        </w:rPr>
        <w:t xml:space="preserve">[DOK 3 · item u1-gc22-dok3-tc · pre-field-test]</w:t>
      </w:r>
    </w:p>
    <w:p>
      <w:pPr>
        <w:spacing w:after="100"/>
      </w:pPr>
      <w:r>
        <w:rPr>
          <w:b/>
          <w:bCs/>
          <w:i w:val="false"/>
          <w:iCs w:val="false"/>
          <w:color w:val="1A1A1A"/>
          <w:sz w:val="32"/>
          <w:szCs w:val="32"/>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30"/>
          <w:szCs w:val="3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30"/>
          <w:szCs w:val="3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30"/>
          <w:szCs w:val="3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30"/>
          <w:szCs w:val="3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GC.19: </w:t>
      </w:r>
      <w:r>
        <w:rPr>
          <w:b w:val="false"/>
          <w:bCs w:val="false"/>
          <w:i w:val="false"/>
          <w:iCs w:val="false"/>
          <w:color w:val="1A1A1A"/>
          <w:sz w:val="32"/>
          <w:szCs w:val="32"/>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32"/>
          <w:szCs w:val="32"/>
          <w:caps w:val="false"/>
          <w:rFonts w:ascii="Calibri" w:cs="Calibri" w:eastAsia="Calibri" w:hAnsi="Calibri"/>
        </w:rPr>
        <w:t xml:space="preserve">GC.20: </w:t>
      </w:r>
      <w:r>
        <w:rPr>
          <w:b w:val="false"/>
          <w:bCs w:val="false"/>
          <w:i w:val="false"/>
          <w:iCs w:val="false"/>
          <w:color w:val="1A1A1A"/>
          <w:sz w:val="32"/>
          <w:szCs w:val="32"/>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32"/>
          <w:szCs w:val="32"/>
          <w:caps w:val="false"/>
          <w:rFonts w:ascii="Calibri" w:cs="Calibri" w:eastAsia="Calibri" w:hAnsi="Calibri"/>
        </w:rPr>
        <w:t xml:space="preserve">GC.21: </w:t>
      </w:r>
      <w:r>
        <w:rPr>
          <w:b w:val="false"/>
          <w:bCs w:val="false"/>
          <w:i w:val="false"/>
          <w:iCs w:val="false"/>
          <w:color w:val="1A1A1A"/>
          <w:sz w:val="32"/>
          <w:szCs w:val="32"/>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32"/>
          <w:szCs w:val="32"/>
          <w:caps w:val="false"/>
          <w:rFonts w:ascii="Calibri" w:cs="Calibri" w:eastAsia="Calibri" w:hAnsi="Calibri"/>
        </w:rPr>
        <w:t xml:space="preserve">GC.22: </w:t>
      </w:r>
      <w:r>
        <w:rPr>
          <w:b w:val="false"/>
          <w:bCs w:val="false"/>
          <w:i w:val="false"/>
          <w:iCs w:val="false"/>
          <w:color w:val="1A1A1A"/>
          <w:sz w:val="32"/>
          <w:szCs w:val="32"/>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GC.19 — Article III &amp; Judicial Power</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GC.20 — Selecting &amp; Confirming Justices</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GC.21 — Judicial Review &amp; Marbury v. Madison</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Marbury v. Madison, 5 U.S. 137 (holding).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B2A4A"/>
          <w:sz w:val="32"/>
          <w:szCs w:val="32"/>
          <w:caps w:val="false"/>
          <w:rFonts w:ascii="Calibri" w:cs="Calibri" w:eastAsia="Calibri" w:hAnsi="Calibri"/>
        </w:rPr>
        <w:t xml:space="preserve">GC.22 — Deciding What Is Constitutional</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U.S. Constitution, Article VI (Supremacy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33"/>
          <w:szCs w:val="33"/>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Guardian of Rights</w:t>
      </w:r>
    </w:p>
    <w:p>
      <w:pPr>
        <w:spacing w:after="100"/>
      </w:pPr>
      <w:r>
        <w:rPr>
          <w:b w:val="false"/>
          <w:bCs w:val="false"/>
          <w:i w:val="false"/>
          <w:iCs w:val="false"/>
          <w:color w:val="1A1A1A"/>
          <w:sz w:val="32"/>
          <w:szCs w:val="32"/>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Countermajoritarian Worry</w:t>
      </w:r>
    </w:p>
    <w:p>
      <w:pPr>
        <w:spacing w:after="100"/>
      </w:pPr>
      <w:r>
        <w:rPr>
          <w:b w:val="false"/>
          <w:bCs w:val="false"/>
          <w:i w:val="false"/>
          <w:iCs w:val="false"/>
          <w:color w:val="1A1A1A"/>
          <w:sz w:val="32"/>
          <w:szCs w:val="32"/>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42"/>
          <w:szCs w:val="42"/>
          <w:caps w:val="false"/>
          <w:rFonts w:ascii="Calibri" w:cs="Calibri" w:eastAsia="Calibri" w:hAnsi="Calibri"/>
        </w:rPr>
        <w:t xml:space="preserve">Activism vs. Restraint</w:t>
      </w:r>
    </w:p>
    <w:p>
      <w:pPr>
        <w:spacing w:after="100"/>
      </w:pPr>
      <w:r>
        <w:rPr>
          <w:b w:val="false"/>
          <w:bCs w:val="false"/>
          <w:i w:val="false"/>
          <w:iCs w:val="false"/>
          <w:color w:val="1A1A1A"/>
          <w:sz w:val="32"/>
          <w:szCs w:val="32"/>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Appointment Fight</w:t>
      </w:r>
    </w:p>
    <w:p>
      <w:pPr>
        <w:spacing w:after="100"/>
      </w:pPr>
      <w:r>
        <w:rPr>
          <w:b w:val="false"/>
          <w:bCs w:val="false"/>
          <w:i w:val="false"/>
          <w:iCs w:val="false"/>
          <w:color w:val="1A1A1A"/>
          <w:sz w:val="32"/>
          <w:szCs w:val="32"/>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loaiu0pognk1nnxhc4a4f.png"/><Relationship Id="rId9" Type="http://schemas.openxmlformats.org/officeDocument/2006/relationships/image" Target="media/w8fjfwpicm8dczjtcwa9j.png"/><Relationship Id="rId10" Type="http://schemas.openxmlformats.org/officeDocument/2006/relationships/image" Target="media/wppvnmnjiw8861-onfv2y.png"/><Relationship Id="rId11" Type="http://schemas.openxmlformats.org/officeDocument/2006/relationships/image" Target="media/cwnijofajiosqism3jmh1.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2026-07-31T01:37:27.918Z</dcterms:created>
  <dcterms:modified xsi:type="dcterms:W3CDTF">2026-07-31T01:37:27.919Z</dcterms:modified>
</cp:coreProperties>
</file>

<file path=docProps/custom.xml><?xml version="1.0" encoding="utf-8"?>
<Properties xmlns="http://schemas.openxmlformats.org/officeDocument/2006/custom-properties" xmlns:vt="http://schemas.openxmlformats.org/officeDocument/2006/docPropsVTypes"/>
</file>