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Unit 9 — Teacher How-to-Use &amp; MTSS Guide</w:t>
      </w:r>
    </w:p>
    <w:p>
      <w:pPr>
        <w:pStyle w:val="Normal"/>
        <w:spacing w:before="0" w:after="100"/>
        <w:rPr/>
      </w:pPr>
      <w:r>
        <w:rPr>
          <w:rFonts w:eastAsia="Calibri" w:cs="Calibri"/>
          <w:b/>
          <w:bCs/>
          <w:i w:val="false"/>
          <w:iCs w:val="false"/>
          <w:color w:val="1B2A4A"/>
          <w:sz w:val="22"/>
          <w:szCs w:val="22"/>
        </w:rPr>
        <w:t>The Civil Rights Movement (1954–1975) · Course Standard · US.78–US.82 · Grades 9–12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20"/>
          <w:szCs w:val="20"/>
        </w:rPr>
        <w:t>Release-Ready · Pilot Edition. This guide holds the answer key for teacher use only — keep it separate from student materials.</w:t>
      </w:r>
    </w:p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1. Firm Goals, Flexible Means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The same six labels students see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70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Label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Meaning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CORE PATH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Essential instruction every student completes.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SUPPORT OPTION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Optional scaffold that keeps the goal, not lowers it.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LANGUAGE SUPPORT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Vocabulary, pronunciation, and Spanish cognates.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RESPONSE CHOICE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Write, say/record, or diagram.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PROGRESS CHECK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Quick DOK-2/3 check to guide reteach or extend.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EXTENSION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Deeper challenge once the goal is met.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2. Label-to-Action Table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999"/>
        <w:gridCol w:w="6648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When you see…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 this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CORE PATH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Teach to all; this is the standard expectation.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SUPPORT OPTION / Guided Back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Offer to any student; never assign by track.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LANGUAGE SUPPORT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Pre-teach Word Bank terms; use Spanish column for access.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PROGRESS CHECK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Collect a quick response; route with the Decision Cycle.</w:t>
            </w:r>
          </w:p>
        </w:tc>
      </w:tr>
      <w:tr>
        <w:trPr/>
        <w:tc>
          <w:tcPr>
            <w:tcW w:w="29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EXTENSION</w:t>
            </w:r>
          </w:p>
        </w:tc>
        <w:tc>
          <w:tcPr>
            <w:tcW w:w="6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Offer the higher-DOK CER/Extension Bank to anyone ready.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3. MTSS — Tiers of Support Intensity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800"/>
        <w:gridCol w:w="3199"/>
        <w:gridCol w:w="4649"/>
      </w:tblGrid>
      <w:tr>
        <w:trPr>
          <w:tblHeader w:val="true"/>
        </w:trPr>
        <w:tc>
          <w:tcPr>
            <w:tcW w:w="18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Tier</w:t>
            </w:r>
          </w:p>
        </w:tc>
        <w:tc>
          <w:tcPr>
            <w:tcW w:w="31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Who / when</w:t>
            </w:r>
          </w:p>
        </w:tc>
        <w:tc>
          <w:tcPr>
            <w:tcW w:w="46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In this unit</w:t>
            </w:r>
          </w:p>
        </w:tc>
      </w:tr>
      <w:tr>
        <w:trPr/>
        <w:tc>
          <w:tcPr>
            <w:tcW w:w="18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Tier 1 (Core)</w:t>
            </w:r>
          </w:p>
        </w:tc>
        <w:tc>
          <w:tcPr>
            <w:tcW w:w="31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All students</w:t>
            </w:r>
          </w:p>
        </w:tc>
        <w:tc>
          <w:tcPr>
            <w:tcW w:w="46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Full deck + workbook CORE PATH, Word Bank, Cornell Notes.</w:t>
            </w:r>
          </w:p>
        </w:tc>
      </w:tr>
      <w:tr>
        <w:trPr/>
        <w:tc>
          <w:tcPr>
            <w:tcW w:w="18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Tier 2 (Targeted)</w:t>
            </w:r>
          </w:p>
        </w:tc>
        <w:tc>
          <w:tcPr>
            <w:tcW w:w="31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Students missing a Progress Check</w:t>
            </w:r>
          </w:p>
        </w:tc>
        <w:tc>
          <w:tcPr>
            <w:tcW w:w="46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Guided Support Back, sentence frames, Rehearsal Lab.</w:t>
            </w:r>
          </w:p>
        </w:tc>
      </w:tr>
      <w:tr>
        <w:trPr/>
        <w:tc>
          <w:tcPr>
            <w:tcW w:w="18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Tier 3 (Intensive)</w:t>
            </w:r>
          </w:p>
        </w:tc>
        <w:tc>
          <w:tcPr>
            <w:tcW w:w="31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Persistent barrier</w:t>
            </w:r>
          </w:p>
        </w:tc>
        <w:tc>
          <w:tcPr>
            <w:tcW w:w="46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Pair Guided Back with IEP/504 supports; reteach a step.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4. The MTSS Decision Cycle</w:t>
      </w:r>
    </w:p>
    <w:p>
      <w:pPr>
        <w:pStyle w:val="Normal"/>
        <w:spacing w:before="0" w:after="100"/>
        <w:rPr/>
      </w:pPr>
      <w:r>
        <w:rPr>
          <w:rFonts w:eastAsia="Calibri" w:cs="Calibri"/>
          <w:b/>
          <w:bCs/>
          <w:i w:val="false"/>
          <w:iCs w:val="false"/>
          <w:color w:val="1B2A4A"/>
          <w:sz w:val="24"/>
          <w:szCs w:val="24"/>
        </w:rPr>
        <w:t>PROGRESS CHECK → identify barrier → select support → reteach → recheck → extend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Scaffold fading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5. District Review Evidence Snapshot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99"/>
        <w:gridCol w:w="6248"/>
      </w:tblGrid>
      <w:tr>
        <w:trPr>
          <w:tblHeader w:val="true"/>
        </w:trPr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Criterion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shows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Standards alignment (US.78–82)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Standards &amp; SSP Crosswalk; per-standard blocks.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Public-domain sources, cited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Source Library; Activity 5 each standard.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UDL 3.0 visible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Accessibility matrix; callouts throughout.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MTSS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This guide §3–4; wrap-up decision band in the Teacher Deck.</w:t>
            </w:r>
          </w:p>
        </w:tc>
      </w:tr>
      <w:tr>
        <w:trPr/>
        <w:tc>
          <w:tcPr>
            <w:tcW w:w="3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Assessment integrity</w:t>
            </w:r>
          </w:p>
        </w:tc>
        <w:tc>
          <w:tcPr>
            <w:tcW w:w="62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Answer key here (separate); de-biased positions.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6. Direct Teaching + Cornell Notes + Slide Deck Workflow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Verified Lean Student Deck ranges (from the final 64-slide deck)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399"/>
        <w:gridCol w:w="1900"/>
        <w:gridCol w:w="1901"/>
        <w:gridCol w:w="1449"/>
        <w:gridCol w:w="1499"/>
        <w:gridCol w:w="1499"/>
      </w:tblGrid>
      <w:tr>
        <w:trPr>
          <w:tblHeader w:val="true"/>
        </w:trPr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Standard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Lean Deck range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Direct-teaching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Vocab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Primary source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Progress Check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US.78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US.79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US.80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US.81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3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US.82</w:t>
            </w:r>
          </w:p>
        </w:tc>
        <w:tc>
          <w:tcPr>
            <w:tcW w:w="1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9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14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—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7. What to Print and When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00"/>
        <w:gridCol w:w="6447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Print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When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Cornell Universal Front (per standard)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Day 1 of each standard.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Guided / Light Support Backs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On request only; reverse of the front.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Practice Quiz + CER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After direct teaching, before the standard assessment.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Source Library</w:t>
            </w:r>
          </w:p>
        </w:tc>
        <w:tc>
          <w:tcPr>
            <w:tcW w:w="64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Once per unit for reference.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8. Per-Standard Lesson Sequence &amp; Pacing (one standard = one 45-minute period)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Honest activity time estimates (pick what fills your 45 minutes)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99"/>
        <w:gridCol w:w="900"/>
        <w:gridCol w:w="5449"/>
      </w:tblGrid>
      <w:tr>
        <w:trPr>
          <w:tblHeader w:val="true"/>
        </w:trPr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~Time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Note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Standard launch (hook · goal · activate · predict)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5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Frames the learning target and the day.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1 — Vocabulary Word Bank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10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Reference + self-check + quick-write.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2 — Vocabulary Studio (Frayer)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7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One priority term, four quadrants.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3 — Cornell Notes (with slide deck)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20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Direct-teaching capture — front + processing back.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4 — Close Read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15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Passage, annotation, text-dependent questions.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Geographer’s Lens (G-tagged standards, as applicable)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10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Analyze the period map + mark-up.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5 — Primary Source / Data (HIPPO)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15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Source + five HIPPO prompts + response.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6 — Practice Quiz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8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 few items + one short DOK-3 write.</w:t>
            </w:r>
          </w:p>
        </w:tc>
      </w:tr>
      <w:tr>
        <w:trPr/>
        <w:tc>
          <w:tcPr>
            <w:tcW w:w="32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Activity 7 — CER + Exit Ticket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15 min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CER organizer + paragraph (~12) and Exit Ticket (~3).</w:t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Run every activity and a standard totals ≈ 105 minutes (≈ 95 without a map) — about two periods of work compressed into a one-period design. So it is a menu, not a checklist.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How to fill the period — your call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The Exit Ticket is the daily formative check; try to close every period with it (see §16 for the keys and reteach routing).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9. Assessment Source &amp; Item Metadata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Each standard’s Progress Check / Transfer Check is a Teacher-Deck Check for Understanding (DOK 2–3). The additional Practice-Quiz DOK-1 items are History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De-biased key distribution (Transfer Checks, US.78–US.82)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A · B · C · D · A</w:t>
            </w:r>
          </w:p>
        </w:tc>
      </w:tr>
    </w:tbl>
    <w:p>
      <w:pPr>
        <w:pStyle w:val="Heading1"/>
        <w:keepNext w:val="true"/>
        <w:spacing w:before="22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10. Practice Quiz — Answer Key &amp; Rationales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20"/>
          <w:szCs w:val="20"/>
        </w:rPr>
        <w:t>For teacher use only — keep separate from student copies.</w:t>
      </w:r>
    </w:p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US.78 — Brown v. Board of Education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us78-q2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u1-us78-dok3-tc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The vague "all deliberate speed" timeline in Brown II gave Southern states room to delay, and many resisted through closing public schools, creating private academies, and outright defiance.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US.79 — Civil Rights Advocates and Opponents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us79-q2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u1-us79-dok3-tc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King and Malcolm X represented different but evolving approaches—King's dream of integration through nonviolence contrasted with Malcolm X's early separatism, though Malcolm X later embraced broader human rights perspectives.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US.80 — Significant Civil Rights Events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us80-q2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u1-us80-dok3-tc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Television brought the violence of segregation into American living rooms, creating widespread outrage that translated into political pressure for federal civil rights legislation.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US.81 — Civil and Voting Rights Legislation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us81-q2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u1-us81-dok3-tc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While the 1964 Act addressed public segregation, housing discrimination continued to create segregated neighborhoods that affected educational and economic opportunity, requiring specific legislation.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US.82 — American Indian, Chicano &amp; Feminist Movements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900"/>
        <w:gridCol w:w="900"/>
        <w:gridCol w:w="52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Rationale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us82-q2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Recall of the standard’s core term/fact.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u1-us82-dok3-tc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2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While borrowing successful tactics, each movement addressed specific injustices—AIM emphasized sovereignty and treaty rights, Chicanos focused on labor and education, and feminists targeted gender discrimination.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11. How CAST UDL 3.0 Is Visible in Unit 9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704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UDL principle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In this unit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Engagement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Response choice; Tennessee Connection relevance; optional extensions.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Representation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Word Bank + pronunciation + Spanish; Close-Read supports; HIPPO scaffold.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Action &amp; Expression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Write / say / diagram; Frayer studio; CER with rubric.</w:t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20"/>
          <w:szCs w:val="20"/>
        </w:rPr>
        <w:t>No fixed-track labels appear anywhere in the student materials; supports are universal and optional.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12. Printable Blank Templates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Blank Cornell Notes — Universal Front (printable)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1"/>
          <w:szCs w:val="21"/>
        </w:rPr>
        <w:t>Name: ______________________    Class / Period: __________    Date: __________    Topic: ______________________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00"/>
        <w:gridCol w:w="7047"/>
      </w:tblGrid>
      <w:tr>
        <w:trPr/>
        <w:tc>
          <w:tcPr>
            <w:tcW w:w="9647" w:type="dxa"/>
            <w:gridSpan w:val="2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LEARNING TARGET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I can __________________________________________________________________________________</w:t>
            </w:r>
          </w:p>
        </w:tc>
      </w:tr>
      <w:tr>
        <w:trPr/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>Guiding cues (about 25%)</w:t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My notes (about 75%)</w:t>
            </w:r>
          </w:p>
        </w:tc>
      </w:tr>
      <w:tr>
        <w:trPr>
          <w:trHeight w:val="900" w:hRule="atLeast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26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7047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18"/>
          <w:szCs w:val="18"/>
        </w:rPr>
        <w:t>The 25/75 split describes the approximate width of each writing column (label, not a fixed track).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Key terms to list</w:t>
            </w:r>
          </w:p>
        </w:tc>
      </w:tr>
      <w:tr>
        <w:trPr>
          <w:trHeight w:val="420" w:hRule="atLeast"/>
        </w:trPr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Summary — In your own words (2–3 sentences)</w:t>
            </w:r>
          </w:p>
        </w:tc>
      </w:tr>
      <w:tr>
        <w:trPr>
          <w:trHeight w:val="560" w:hRule="atLeast"/>
        </w:trPr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My 12–15 word headline</w:t>
            </w:r>
          </w:p>
        </w:tc>
      </w:tr>
      <w:tr>
        <w:trPr>
          <w:trHeight w:val="460" w:hRule="atLeast"/>
        </w:trPr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18"/>
          <w:szCs w:val="18"/>
        </w:rPr>
        <w:t>Print duplex: the Guided or Light Support for these notes goes on the reverse of this page.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28"/>
          <w:szCs w:val="28"/>
        </w:rPr>
        <w:t>Blank Vocabulary Studio — Frayer (printable)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648"/>
      </w:tblGrid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RESPONSE CHOICE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Complete the studio by writing, speaking, or diagramming.</w:t>
            </w:r>
          </w:p>
        </w:tc>
      </w:tr>
      <w:tr>
        <w:trPr/>
        <w:tc>
          <w:tcPr>
            <w:tcW w:w="96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C89B3C"/>
                <w:sz w:val="16"/>
                <w:szCs w:val="16"/>
              </w:rPr>
              <w:t>PRIORITY TERM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     __________________________     ES: __________________</w:t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Word-bank meaning to build on: ______________________________________________________________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824"/>
        <w:gridCol w:w="4823"/>
      </w:tblGrid>
      <w:tr>
        <w:trPr>
          <w:tblHeader w:val="true"/>
        </w:trPr>
        <w:tc>
          <w:tcPr>
            <w:tcW w:w="4824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>Definition (in your own words)</w:t>
            </w:r>
          </w:p>
        </w:tc>
        <w:tc>
          <w:tcPr>
            <w:tcW w:w="4823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Characteristics</w:t>
            </w:r>
          </w:p>
        </w:tc>
      </w:tr>
      <w:tr>
        <w:trPr>
          <w:trHeight w:val="900" w:hRule="atLeast"/>
        </w:trPr>
        <w:tc>
          <w:tcPr>
            <w:tcW w:w="4824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4823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4824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>Examples</w:t>
            </w:r>
          </w:p>
        </w:tc>
        <w:tc>
          <w:tcPr>
            <w:tcW w:w="4823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Non-examples</w:t>
            </w:r>
          </w:p>
        </w:tc>
      </w:tr>
      <w:tr>
        <w:trPr>
          <w:trHeight w:val="900" w:hRule="atLeast"/>
        </w:trPr>
        <w:tc>
          <w:tcPr>
            <w:tcW w:w="4824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4823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9647" w:type="dxa"/>
            <w:gridSpan w:val="2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w="9647" w:type="dxa"/>
            <w:gridSpan w:val="2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13. Social Studies Practices (SSP) Crosswalk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Each activity in the seven-activity cycle builds specific Tennessee Social Studies Practices. Every SSP.01–SSP.06 is covered within each standard’s cycle.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00"/>
        <w:gridCol w:w="1899"/>
        <w:gridCol w:w="4549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Builds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Practice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Cornell Notes (Activity 3)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SSP.05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Develop historical awareness — sequence events, recognize cause &amp; effect.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Close Read (Activity 4)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SSP.03 · SSP.05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Synthesize data from multiple sources; historical awareness.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Primary Source / HIPPO (Activity 5)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SSP.01 · SSP.02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Gather, analyze, and evaluate sources; critically examine a source for point of view, bias, context.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Geographer’s Lens (G-tagged standards)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SSP.06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Analyze relationships among geography, economics, and society across time and place.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Practice Quiz (Activity 6)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SSP.01–06 (assessed)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Applied across items.</w:t>
            </w:r>
          </w:p>
        </w:tc>
      </w:tr>
      <w:tr>
        <w:trPr/>
        <w:tc>
          <w:tcPr>
            <w:tcW w:w="32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CER (Activity 7)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SSP.04</w:t>
            </w:r>
          </w:p>
        </w:tc>
        <w:tc>
          <w:tcPr>
            <w:tcW w:w="45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Construct and communicate arguments citing supporting evidence.</w:t>
            </w:r>
          </w:p>
        </w:tc>
      </w:tr>
      <w:tr>
        <w:trPr/>
        <w:tc>
          <w:tcPr>
            <w:tcW w:w="9648" w:type="dxa"/>
            <w:gridSpan w:val="3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F7F5EF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>Coverage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>All six practices (SSP.01–SSP.06) are built within every standard’s cycle.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14. Standard Dimension Coverage (C · E · G · H · P · T · TCA)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US.78 — Brown v. Board of Education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Brown v. Board of Education: The case emerged from decades of "separate but equal" doctrine established in Plessy v. Ferguson (1896). By th…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Brown v. Board of Education: The case emerged from decades of "separate but equal" doctrine established in Plessy v. Ferguson (1896). By th…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US.79 — Civil Rights Advocates and Opponents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Civil Rights Advocates and Opponents: Martin Luther King Jr. led nonviolent resistance, organized the Montgomery Bus Boycott, founded the Southern C…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Civil Rights Advocates and Opponents: Martin Luther King Jr. led nonviolent resistance, organized the Montgomery Bus Boycott, founded the Southern C…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US.80 — Significant Civil Rights Events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Significant Civil Rights Events: The Montgomery Bus Boycott (1955-1956), sparked by Rosa Parks' arrest, demonstrated Black economic power throu…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Significant Civil Rights Events: The Montgomery Bus Boycott (1955-1956), sparked by Rosa Parks' arrest, demonstrated Black economic power throu…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Significant Civil Rights Events: The Montgomery Bus Boycott (1955-1956), sparked by Rosa Parks' arrest, demonstrated Black economic power throu…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US.81 — Civil and Voting Rights Legislation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Civil and Voting Rights Legislation: This landmark legislation banned discrimination in public accommodations, employment, and federally funded pro…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(P)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Politics/Government lens on Civil and Voting Rights Legislation: This landmark legislation banned discrimination in public accommodations, employment, and federally funded pro…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Civil and Voting Rights Legislation: This landmark legislation banned discrimination in public accommodations, employment, and federally funded pro…</w:t>
            </w:r>
          </w:p>
        </w:tc>
      </w:tr>
    </w:tbl>
    <w:p>
      <w:pPr>
        <w:pStyle w:val="Heading3"/>
        <w:keepNext w:val="true"/>
        <w:spacing w:before="15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B22234"/>
          <w:sz w:val="24"/>
          <w:szCs w:val="24"/>
        </w:rPr>
        <w:t>US.82 — American Indian, Chicano &amp; Feminist Movements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799"/>
        <w:gridCol w:w="684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Where it is taught in this standard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(C)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Culture lens on American Indian, Chicano &amp; Feminist Movements: AIM pursued tribal sovereignty, treaty rights, cultural preservation, and economic development on reservations…</w:t>
            </w:r>
          </w:p>
        </w:tc>
      </w:tr>
      <w:tr>
        <w:trPr/>
        <w:tc>
          <w:tcPr>
            <w:tcW w:w="2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(H)</w:t>
            </w:r>
          </w:p>
        </w:tc>
        <w:tc>
          <w:tcPr>
            <w:tcW w:w="6848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History lens on American Indian, Chicano &amp; Feminist Movements: AIM pursued tribal sovereignty, treaty rights, cultural preservation, and economic development on reservations…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15. Constructed Response (CER) — 6-Point Rubric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2"/>
          <w:szCs w:val="22"/>
        </w:rPr>
        <w:t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799"/>
        <w:gridCol w:w="1700"/>
        <w:gridCol w:w="7149"/>
      </w:tblGrid>
      <w:tr>
        <w:trPr>
          <w:tblHeader w:val="true"/>
        </w:trPr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Score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What it looks like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Exemplary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Defensible, insightful claim; TWO or more precise, accurate pieces of evidence; reasoning fully explains HOW the evidence proves the claim; cohesive and sophisticated.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Advanced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Clear claim; strong, accurate evidence; reasoning explains the link with only minor gaps.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Proficient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Adequate claim; some specific evidence; reasoning present but general.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Adequate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Basic claim; limited or partly accurate evidence; reasoning thin.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Developing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Vague claim; little evidence; evidence largely unexplained.</w:t>
            </w:r>
          </w:p>
        </w:tc>
      </w:tr>
      <w:tr>
        <w:trPr/>
        <w:tc>
          <w:tcPr>
            <w:tcW w:w="7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Beginning</w:t>
            </w:r>
          </w:p>
        </w:tc>
        <w:tc>
          <w:tcPr>
            <w:tcW w:w="71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No clear claim; little or no evidence; no reasoning.</w:t>
            </w:r>
          </w:p>
        </w:tc>
      </w:tr>
    </w:tbl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18"/>
          <w:szCs w:val="18"/>
        </w:rPr>
        <w:t>Swap in your bank’s exact CER rubric text if it differs; the 6-point scale (6 Exemplary → 1 Beginning) is the course convention.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90"/>
        <w:rPr/>
      </w:pPr>
      <w:r>
        <w:rPr>
          <w:rFonts w:eastAsia="Calibri" w:cs="Calibri" w:ascii="Calibri" w:hAnsi="Calibri"/>
          <w:b/>
          <w:bCs/>
          <w:i w:val="false"/>
          <w:iCs w:val="false"/>
          <w:color w:val="1B2A4A"/>
          <w:sz w:val="36"/>
          <w:szCs w:val="36"/>
        </w:rPr>
        <w:t>16. Exit Ticket Answer Keys + What’s Next (reteach)</w:t>
      </w:r>
    </w:p>
    <w:p>
      <w:pPr>
        <w:pStyle w:val="Normal"/>
        <w:spacing w:before="0" w:after="100"/>
        <w:rPr/>
      </w:pPr>
      <w:r>
        <w:rPr>
          <w:rFonts w:eastAsia="Calibri" w:cs="Calibri"/>
          <w:b w:val="false"/>
          <w:bCs w:val="false"/>
          <w:i/>
          <w:iCs/>
          <w:color w:val="6B7280"/>
          <w:sz w:val="20"/>
          <w:szCs w:val="20"/>
        </w:rPr>
        <w:t>For teacher use only — keep separate from student copies. Each standard’s Exit Ticket (end of the standard, on the CER page) with its key and reteach routing. Items are pre-field-test.</w:t>
      </w:r>
    </w:p>
    <w:tbl>
      <w:tblPr>
        <w:tblW w:w="9648" w:type="dxa"/>
        <w:jc w:val="left"/>
        <w:tblInd w:w="0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00"/>
        <w:gridCol w:w="1899"/>
        <w:gridCol w:w="701"/>
        <w:gridCol w:w="699"/>
        <w:gridCol w:w="5449"/>
      </w:tblGrid>
      <w:tr>
        <w:trPr>
          <w:tblHeader w:val="true"/>
        </w:trPr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Std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DOK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Key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  <w:shd w:color="auto" w:fill="1B2A4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What’s Next if a student misses it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US.78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us78-q1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Brown v. Board of Education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US.79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us79-q1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D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Civil Rights Advocates and Opponents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US.80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us80-q1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A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Significant Civil Rights Events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US.81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us81-q1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B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Civil and Voting Rights Legislation — reteach with the Cornell cues + Guided Support; re-check with the Progress Check.</w:t>
            </w:r>
          </w:p>
        </w:tc>
      </w:tr>
      <w:tr>
        <w:trPr/>
        <w:tc>
          <w:tcPr>
            <w:tcW w:w="900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US.82</w:t>
            </w:r>
          </w:p>
        </w:tc>
        <w:tc>
          <w:tcPr>
            <w:tcW w:w="18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us82-q1</w:t>
            </w:r>
          </w:p>
        </w:tc>
        <w:tc>
          <w:tcPr>
            <w:tcW w:w="701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C</w:t>
            </w:r>
          </w:p>
        </w:tc>
        <w:tc>
          <w:tcPr>
            <w:tcW w:w="5449" w:type="dxa"/>
            <w:tcBorders>
              <w:top w:val="single" w:sz="4" w:space="0" w:color="D9D5C8"/>
              <w:left w:val="single" w:sz="4" w:space="0" w:color="D9D5C8"/>
              <w:bottom w:val="single" w:sz="4" w:space="0" w:color="D9D5C8"/>
              <w:right w:val="single" w:sz="4" w:space="0" w:color="D9D5C8"/>
            </w:tcBorders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>Revisit American Indian, Chicano &amp; Feminist Movements — reteach with the Cornell cues + Guided Support; re-check with the Progress Check.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96" w:right="1296" w:gutter="0" w:header="720" w:top="1152" w:footer="720" w:bottom="1152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6B7280"/>
        <w:sz w:val="15"/>
        <w:szCs w:val="15"/>
      </w:rPr>
      <w:t xml:space="preserve">U.S. History Hack™ · Unit 9 Teacher Guide   © 2026 TroopToTeacher Technologies LLC   | 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6B7280"/>
        <w:sz w:val="15"/>
        <w:szCs w:val="15"/>
      </w:rPr>
      <w:t xml:space="preserve">U.S. History Hack™ · Unit 9 Teacher Guide   © 2026 TroopToTeacher Technologies LLC   | 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right"/>
      <w:rPr/>
    </w:pPr>
    <w:r>
      <w:rPr>
        <w:rFonts w:eastAsia="Calibri" w:cs="Calibri"/>
        <w:b/>
        <w:bCs/>
        <w:i w:val="false"/>
        <w:iCs w:val="false"/>
        <w:color w:val="C89B3C"/>
        <w:sz w:val="16"/>
        <w:szCs w:val="16"/>
      </w:rPr>
      <w:t>U.S. History Hack™ · Unit 9 Teacher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right"/>
      <w:rPr/>
    </w:pPr>
    <w:r>
      <w:rPr>
        <w:rFonts w:eastAsia="Calibri" w:cs="Calibri"/>
        <w:b/>
        <w:bCs/>
        <w:i w:val="false"/>
        <w:iCs w:val="false"/>
        <w:color w:val="C89B3C"/>
        <w:sz w:val="16"/>
        <w:szCs w:val="16"/>
      </w:rPr>
      <w:t>U.S. History Hack™ · Unit 9 Teacher Guide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A1A1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A1A1A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before="220" w:after="90"/>
      <w:outlineLvl w:val="0"/>
    </w:pPr>
    <w:rPr>
      <w:rFonts w:ascii="Calibri" w:hAnsi="Calibri" w:eastAsia="Calibri" w:cs="Calibri"/>
      <w:b/>
      <w:bCs/>
      <w:color w:val="1B2A4A"/>
      <w:sz w:val="36"/>
      <w:szCs w:val="36"/>
    </w:rPr>
  </w:style>
  <w:style w:type="paragraph" w:styleId="Heading2">
    <w:name w:val="Heading 2"/>
    <w:basedOn w:val="Heading"/>
    <w:qFormat/>
    <w:pPr>
      <w:keepNext w:val="true"/>
      <w:spacing w:before="150" w:after="80"/>
      <w:outlineLvl w:val="1"/>
    </w:pPr>
    <w:rPr>
      <w:rFonts w:ascii="Calibri" w:hAnsi="Calibri" w:eastAsia="Calibri" w:cs="Calibri"/>
      <w:b/>
      <w:bCs/>
      <w:color w:val="1B2A4A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before="120" w:after="70"/>
      <w:outlineLvl w:val="2"/>
    </w:pPr>
    <w:rPr>
      <w:rFonts w:ascii="Calibri" w:hAnsi="Calibri" w:eastAsia="Calibri" w:cs="Calibri"/>
      <w:b/>
      <w:bCs/>
      <w:color w:val="B22234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1A1A1A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A1A1A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13</Pages>
  <Words>2284</Words>
  <Characters>12975</Characters>
  <CharactersWithSpaces>14956</CharactersWithSpaces>
  <Paragraphs>379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2026-07-28T17:22:53Z</dcterms:created>
  <dc:creator>TroopToTeacher Technologies LLC</dc:creator>
  <dc:description/>
  <dc:language>en-US</dc:language>
  <cp:lastModifiedBy/>
  <dcterms:modified xsi:type="dcterms:W3CDTF">2026-07-28T17:23:06Z</dcterms:modified>
  <cp:revision>2</cp:revision>
  <dc:subject/>
  <dc:title>U.S. History Hack — Unit 9 Teacher How-to-Use &amp; MTSS Guide (Pilot)</dc:title>
</cp:coreProperties>
</file>