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4</w:t>
      </w:r>
    </w:p>
    <w:p>
      <w:pPr>
        <w:spacing w:after="120"/>
        <w:jc w:val="center"/>
      </w:pPr>
      <w:r>
        <w:rPr>
          <w:b/>
          <w:bCs/>
          <w:i w:val="false"/>
          <w:iCs w:val="false"/>
          <w:color w:val="1B2A4A"/>
          <w:sz w:val="48"/>
          <w:szCs w:val="48"/>
          <w:caps w:val="false"/>
          <w:rFonts w:ascii="Calibri" w:cs="Calibri" w:eastAsia="Calibri" w:hAnsi="Calibri"/>
        </w:rPr>
        <w:t xml:space="preserve">The Executive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much power should one person hold — and how is the presidency kept in check?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GC.16 — Article II &amp; the Presidency</w:t>
      </w:r>
    </w:p>
    <w:p>
      <w:pPr>
        <w:spacing w:after="60"/>
      </w:pPr>
      <w:r>
        <w:rPr>
          <w:b/>
          <w:bCs/>
          <w:i w:val="false"/>
          <w:iCs w:val="false"/>
          <w:color w:val="1A1A1A"/>
          <w:sz w:val="33"/>
          <w:szCs w:val="33"/>
          <w:caps w:val="false"/>
          <w:rFonts w:ascii="Calibri" w:cs="Calibri" w:eastAsia="Calibri" w:hAnsi="Calibri"/>
        </w:rPr>
        <w:t xml:space="preserve">TN Academic Standard GC.16: </w:t>
      </w:r>
      <w:r>
        <w:rPr>
          <w:b w:val="false"/>
          <w:bCs w:val="false"/>
          <w:i w:val="false"/>
          <w:iCs w:val="false"/>
          <w:color w:val="1A1A1A"/>
          <w:sz w:val="33"/>
          <w:szCs w:val="33"/>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II — the qualifications, powers, roles, term, and succession of the President..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Commander-in-Chief</w:t>
            </w:r>
            <w:r>
              <w:rPr>
                <w:b w:val="false"/>
                <w:bCs w:val="false"/>
                <w:i w:val="false"/>
                <w:iCs w:val="false"/>
                <w:color w:val="D9D5C8"/>
                <w:sz w:val="27"/>
                <w:szCs w:val="27"/>
                <w:caps w:val="false"/>
                <w:rFonts w:ascii="Calibri" w:cs="Calibri" w:eastAsia="Calibri" w:hAnsi="Calibri"/>
              </w:rPr>
              <w:t xml:space="preserve">      ·   ES: comandante en jefe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“Commander-in-Chief”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Executive Order</w:t>
            </w:r>
            <w:r>
              <w:rPr>
                <w:b w:val="false"/>
                <w:bCs w:val="false"/>
                <w:i w:val="false"/>
                <w:iCs w:val="false"/>
                <w:color w:val="D9D5C8"/>
                <w:sz w:val="27"/>
                <w:szCs w:val="27"/>
                <w:caps w:val="false"/>
                <w:rFonts w:ascii="Calibri" w:cs="Calibri" w:eastAsia="Calibri" w:hAnsi="Calibri"/>
              </w:rPr>
              <w:t xml:space="preserve">      ·   ES: orden ejecutiva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“Executive Order”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32"/>
                <w:szCs w:val="32"/>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32"/>
                <w:szCs w:val="32"/>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32"/>
                <w:szCs w:val="32"/>
                <w:caps w:val="false"/>
                <w:rFonts w:ascii="Calibri" w:cs="Calibri" w:eastAsia="Calibri" w:hAnsi="Calibri"/>
              </w:rPr>
              <w:t xml:space="preserve">D.   The House must sign every appointment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 How do the 22nd and 25th Amendments limit or stabilize the presidency?</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u4-gc16-dok1-1 · pre-field-test]</w:t>
      </w:r>
    </w:p>
    <w:p>
      <w:pPr>
        <w:spacing w:after="100"/>
      </w:pPr>
      <w:r>
        <w:rPr>
          <w:b/>
          <w:bCs/>
          <w:i w:val="false"/>
          <w:iCs w:val="false"/>
          <w:color w:val="1A1A1A"/>
          <w:sz w:val="32"/>
          <w:szCs w:val="32"/>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30"/>
          <w:szCs w:val="30"/>
          <w:caps w:val="false"/>
          <w:rFonts w:ascii="Calibri" w:cs="Calibri" w:eastAsia="Calibri" w:hAnsi="Calibri"/>
        </w:rPr>
        <w:t xml:space="preserve">A. One</w:t>
      </w:r>
    </w:p>
    <w:p>
      <w:pPr>
        <w:spacing w:after="20"/>
        <w:ind w:left="260"/>
      </w:pPr>
      <w:r>
        <w:rPr>
          <w:b w:val="false"/>
          <w:bCs w:val="false"/>
          <w:i w:val="false"/>
          <w:iCs w:val="false"/>
          <w:color w:val="1A1A1A"/>
          <w:sz w:val="30"/>
          <w:szCs w:val="30"/>
          <w:caps w:val="false"/>
          <w:rFonts w:ascii="Calibri" w:cs="Calibri" w:eastAsia="Calibri" w:hAnsi="Calibri"/>
        </w:rPr>
        <w:t xml:space="preserve">B. Two</w:t>
      </w:r>
    </w:p>
    <w:p>
      <w:pPr>
        <w:spacing w:after="20"/>
        <w:ind w:left="260"/>
      </w:pPr>
      <w:r>
        <w:rPr>
          <w:b w:val="false"/>
          <w:bCs w:val="false"/>
          <w:i w:val="false"/>
          <w:iCs w:val="false"/>
          <w:color w:val="1A1A1A"/>
          <w:sz w:val="30"/>
          <w:szCs w:val="30"/>
          <w:caps w:val="false"/>
          <w:rFonts w:ascii="Calibri" w:cs="Calibri" w:eastAsia="Calibri" w:hAnsi="Calibri"/>
        </w:rPr>
        <w:t xml:space="preserve">C. Three</w:t>
      </w:r>
    </w:p>
    <w:p>
      <w:pPr>
        <w:spacing w:after="20"/>
        <w:ind w:left="260"/>
      </w:pPr>
      <w:r>
        <w:rPr>
          <w:b w:val="false"/>
          <w:bCs w:val="false"/>
          <w:i w:val="false"/>
          <w:iCs w:val="false"/>
          <w:color w:val="1A1A1A"/>
          <w:sz w:val="30"/>
          <w:szCs w:val="30"/>
          <w:caps w:val="false"/>
          <w:rFonts w:ascii="Calibri" w:cs="Calibri" w:eastAsia="Calibri" w:hAnsi="Calibri"/>
        </w:rPr>
        <w:t xml:space="preserve">D. No limit</w:t>
      </w:r>
    </w:p>
    <w:p>
      <w:pPr>
        <w:spacing w:after="100"/>
      </w:pPr>
      <w:r>
        <w:rPr>
          <w:b/>
          <w:bCs/>
          <w:i w:val="false"/>
          <w:iCs w:val="false"/>
          <w:color w:val="6B7280"/>
          <w:sz w:val="27"/>
          <w:szCs w:val="27"/>
          <w:caps w:val="false"/>
          <w:rFonts w:ascii="Calibri" w:cs="Calibri" w:eastAsia="Calibri" w:hAnsi="Calibri"/>
        </w:rPr>
        <w:t xml:space="preserve">[DOK 2 · item u1-gc16-dok2-tc · pre-field-test]</w:t>
      </w:r>
    </w:p>
    <w:p>
      <w:pPr>
        <w:spacing w:after="100"/>
      </w:pPr>
      <w:r>
        <w:rPr>
          <w:b/>
          <w:bCs/>
          <w:i w:val="false"/>
          <w:iCs w:val="false"/>
          <w:color w:val="1A1A1A"/>
          <w:sz w:val="32"/>
          <w:szCs w:val="32"/>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30"/>
          <w:szCs w:val="3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30"/>
          <w:szCs w:val="3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30"/>
          <w:szCs w:val="30"/>
          <w:caps w:val="false"/>
          <w:rFonts w:ascii="Calibri" w:cs="Calibri" w:eastAsia="Calibri" w:hAnsi="Calibri"/>
        </w:rPr>
        <w:t xml:space="preserve">D. The House must sign every appointment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GC.17 — Departments of the Executive Branch</w:t>
      </w:r>
    </w:p>
    <w:p>
      <w:pPr>
        <w:spacing w:after="60"/>
      </w:pPr>
      <w:r>
        <w:rPr>
          <w:b/>
          <w:bCs/>
          <w:i w:val="false"/>
          <w:iCs w:val="false"/>
          <w:color w:val="1A1A1A"/>
          <w:sz w:val="33"/>
          <w:szCs w:val="33"/>
          <w:caps w:val="false"/>
          <w:rFonts w:ascii="Calibri" w:cs="Calibri" w:eastAsia="Calibri" w:hAnsi="Calibri"/>
        </w:rPr>
        <w:t xml:space="preserve">TN Academic Standard GC.17: </w:t>
      </w:r>
      <w:r>
        <w:rPr>
          <w:b w:val="false"/>
          <w:bCs w:val="false"/>
          <w:i w:val="false"/>
          <w:iCs w:val="false"/>
          <w:color w:val="1A1A1A"/>
          <w:sz w:val="33"/>
          <w:szCs w:val="33"/>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major executive departments and describe what each one does to carry out the law..</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Bureaucracy</w:t>
            </w:r>
            <w:r>
              <w:rPr>
                <w:b w:val="false"/>
                <w:bCs w:val="false"/>
                <w:i w:val="false"/>
                <w:iCs w:val="false"/>
                <w:color w:val="D9D5C8"/>
                <w:sz w:val="27"/>
                <w:szCs w:val="27"/>
                <w:caps w:val="false"/>
                <w:rFonts w:ascii="Calibri" w:cs="Calibri" w:eastAsia="Calibri" w:hAnsi="Calibri"/>
              </w:rPr>
              <w:t xml:space="preserve">      ·   ES: burocracia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“Bureaucracy”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Cabinet</w:t>
            </w:r>
            <w:r>
              <w:rPr>
                <w:b w:val="false"/>
                <w:bCs w:val="false"/>
                <w:i w:val="false"/>
                <w:iCs w:val="false"/>
                <w:color w:val="D9D5C8"/>
                <w:sz w:val="27"/>
                <w:szCs w:val="27"/>
                <w:caps w:val="false"/>
                <w:rFonts w:ascii="Calibri" w:cs="Calibri" w:eastAsia="Calibri" w:hAnsi="Calibri"/>
              </w:rPr>
              <w:t xml:space="preserve">      ·   ES: gabinete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“Cabinet”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32"/>
                <w:szCs w:val="32"/>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32"/>
                <w:szCs w:val="32"/>
                <w:caps w:val="false"/>
                <w:rFonts w:ascii="Calibri" w:cs="Calibri" w:eastAsia="Calibri" w:hAnsi="Calibri"/>
              </w:rPr>
              <w:t xml:space="preserve">B.   The Department of State</w:t>
            </w:r>
          </w:p>
          <w:p>
            <w:pPr>
              <w:spacing w:after="30"/>
              <w:ind w:left="360"/>
            </w:pPr>
            <w:r>
              <w:rPr>
                <w:b w:val="false"/>
                <w:bCs w:val="false"/>
                <w:i w:val="false"/>
                <w:iCs w:val="false"/>
                <w:color w:val="1A1A1A"/>
                <w:sz w:val="32"/>
                <w:szCs w:val="32"/>
                <w:caps w:val="false"/>
                <w:rFonts w:ascii="Calibri" w:cs="Calibri" w:eastAsia="Calibri" w:hAnsi="Calibri"/>
              </w:rPr>
              <w:t xml:space="preserve">C.   The Department of Defense</w:t>
            </w:r>
          </w:p>
          <w:p>
            <w:pPr>
              <w:spacing w:after="30"/>
              <w:ind w:left="360"/>
            </w:pPr>
            <w:r>
              <w:rPr>
                <w:b w:val="false"/>
                <w:bCs w:val="false"/>
                <w:i w:val="false"/>
                <w:iCs w:val="false"/>
                <w:color w:val="1A1A1A"/>
                <w:sz w:val="32"/>
                <w:szCs w:val="32"/>
                <w:caps w:val="false"/>
                <w:rFonts w:ascii="Calibri" w:cs="Calibri" w:eastAsia="Calibri" w:hAnsi="Calibri"/>
              </w:rPr>
              <w:t xml:space="preserve">D.   The Department of Education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 What is an 'iron triangle,' and how might it shape policy?</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3. What is an 'iron triangle,' and how might it shape policy?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u4-gc17-dok1-1 · pre-field-test]</w:t>
      </w:r>
    </w:p>
    <w:p>
      <w:pPr>
        <w:spacing w:after="100"/>
      </w:pPr>
      <w:r>
        <w:rPr>
          <w:b/>
          <w:bCs/>
          <w:i w:val="false"/>
          <w:iCs w:val="false"/>
          <w:color w:val="1A1A1A"/>
          <w:sz w:val="32"/>
          <w:szCs w:val="32"/>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30"/>
          <w:szCs w:val="30"/>
          <w:caps w:val="false"/>
          <w:rFonts w:ascii="Calibri" w:cs="Calibri" w:eastAsia="Calibri" w:hAnsi="Calibri"/>
        </w:rPr>
        <w:t xml:space="preserve">A. Cabinet</w:t>
      </w:r>
    </w:p>
    <w:p>
      <w:pPr>
        <w:spacing w:after="20"/>
        <w:ind w:left="260"/>
      </w:pPr>
      <w:r>
        <w:rPr>
          <w:b w:val="false"/>
          <w:bCs w:val="false"/>
          <w:i w:val="false"/>
          <w:iCs w:val="false"/>
          <w:color w:val="1A1A1A"/>
          <w:sz w:val="30"/>
          <w:szCs w:val="30"/>
          <w:caps w:val="false"/>
          <w:rFonts w:ascii="Calibri" w:cs="Calibri" w:eastAsia="Calibri" w:hAnsi="Calibri"/>
        </w:rPr>
        <w:t xml:space="preserve">B. Senate</w:t>
      </w:r>
    </w:p>
    <w:p>
      <w:pPr>
        <w:spacing w:after="20"/>
        <w:ind w:left="260"/>
      </w:pPr>
      <w:r>
        <w:rPr>
          <w:b w:val="false"/>
          <w:bCs w:val="false"/>
          <w:i w:val="false"/>
          <w:iCs w:val="false"/>
          <w:color w:val="1A1A1A"/>
          <w:sz w:val="30"/>
          <w:szCs w:val="30"/>
          <w:caps w:val="false"/>
          <w:rFonts w:ascii="Calibri" w:cs="Calibri" w:eastAsia="Calibri" w:hAnsi="Calibri"/>
        </w:rPr>
        <w:t xml:space="preserve">C. Electoral College</w:t>
      </w:r>
    </w:p>
    <w:p>
      <w:pPr>
        <w:spacing w:after="20"/>
        <w:ind w:left="260"/>
      </w:pPr>
      <w:r>
        <w:rPr>
          <w:b w:val="false"/>
          <w:bCs w:val="false"/>
          <w:i w:val="false"/>
          <w:iCs w:val="false"/>
          <w:color w:val="1A1A1A"/>
          <w:sz w:val="30"/>
          <w:szCs w:val="30"/>
          <w:caps w:val="false"/>
          <w:rFonts w:ascii="Calibri" w:cs="Calibri" w:eastAsia="Calibri" w:hAnsi="Calibri"/>
        </w:rPr>
        <w:t xml:space="preserve">D. Supreme Court</w:t>
      </w:r>
    </w:p>
    <w:p>
      <w:pPr>
        <w:spacing w:after="100"/>
      </w:pPr>
      <w:r>
        <w:rPr>
          <w:b/>
          <w:bCs/>
          <w:i w:val="false"/>
          <w:iCs w:val="false"/>
          <w:color w:val="6B7280"/>
          <w:sz w:val="27"/>
          <w:szCs w:val="27"/>
          <w:caps w:val="false"/>
          <w:rFonts w:ascii="Calibri" w:cs="Calibri" w:eastAsia="Calibri" w:hAnsi="Calibri"/>
        </w:rPr>
        <w:t xml:space="preserve">[DOK 2 · item u1-gc17-dok2-tc · pre-field-test]</w:t>
      </w:r>
    </w:p>
    <w:p>
      <w:pPr>
        <w:spacing w:after="100"/>
      </w:pPr>
      <w:r>
        <w:rPr>
          <w:b/>
          <w:bCs/>
          <w:i w:val="false"/>
          <w:iCs w:val="false"/>
          <w:color w:val="1A1A1A"/>
          <w:sz w:val="32"/>
          <w:szCs w:val="32"/>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30"/>
          <w:szCs w:val="3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30"/>
          <w:szCs w:val="30"/>
          <w:caps w:val="false"/>
          <w:rFonts w:ascii="Calibri" w:cs="Calibri" w:eastAsia="Calibri" w:hAnsi="Calibri"/>
        </w:rPr>
        <w:t xml:space="preserve">B. The Department of State</w:t>
      </w:r>
    </w:p>
    <w:p>
      <w:pPr>
        <w:spacing w:after="20"/>
        <w:ind w:left="260"/>
      </w:pPr>
      <w:r>
        <w:rPr>
          <w:b w:val="false"/>
          <w:bCs w:val="false"/>
          <w:i w:val="false"/>
          <w:iCs w:val="false"/>
          <w:color w:val="1A1A1A"/>
          <w:sz w:val="30"/>
          <w:szCs w:val="30"/>
          <w:caps w:val="false"/>
          <w:rFonts w:ascii="Calibri" w:cs="Calibri" w:eastAsia="Calibri" w:hAnsi="Calibri"/>
        </w:rPr>
        <w:t xml:space="preserve">C. The Department of Defense</w:t>
      </w:r>
    </w:p>
    <w:p>
      <w:pPr>
        <w:spacing w:after="20"/>
        <w:ind w:left="260"/>
      </w:pPr>
      <w:r>
        <w:rPr>
          <w:b w:val="false"/>
          <w:bCs w:val="false"/>
          <w:i w:val="false"/>
          <w:iCs w:val="false"/>
          <w:color w:val="1A1A1A"/>
          <w:sz w:val="30"/>
          <w:szCs w:val="30"/>
          <w:caps w:val="false"/>
          <w:rFonts w:ascii="Calibri" w:cs="Calibri" w:eastAsia="Calibri" w:hAnsi="Calibri"/>
        </w:rPr>
        <w:t xml:space="preserve">D. The Department of Education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GC.18 — The Electoral College</w:t>
      </w:r>
    </w:p>
    <w:p>
      <w:pPr>
        <w:spacing w:after="60"/>
      </w:pPr>
      <w:r>
        <w:rPr>
          <w:b/>
          <w:bCs/>
          <w:i w:val="false"/>
          <w:iCs w:val="false"/>
          <w:color w:val="1A1A1A"/>
          <w:sz w:val="33"/>
          <w:szCs w:val="33"/>
          <w:caps w:val="false"/>
          <w:rFonts w:ascii="Calibri" w:cs="Calibri" w:eastAsia="Calibri" w:hAnsi="Calibri"/>
        </w:rPr>
        <w:t xml:space="preserve">TN Academic Standard GC.18: </w:t>
      </w:r>
      <w:r>
        <w:rPr>
          <w:b w:val="false"/>
          <w:bCs w:val="false"/>
          <w:i w:val="false"/>
          <w:iCs w:val="false"/>
          <w:color w:val="1A1A1A"/>
          <w:sz w:val="33"/>
          <w:szCs w:val="33"/>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how the Electoral College works and weigh the arguments for and against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Electoral College</w:t>
            </w:r>
            <w:r>
              <w:rPr>
                <w:b w:val="false"/>
                <w:bCs w:val="false"/>
                <w:i w:val="false"/>
                <w:iCs w:val="false"/>
                <w:color w:val="D9D5C8"/>
                <w:sz w:val="27"/>
                <w:szCs w:val="27"/>
                <w:caps w:val="false"/>
                <w:rFonts w:ascii="Calibri" w:cs="Calibri" w:eastAsia="Calibri" w:hAnsi="Calibri"/>
              </w:rPr>
              <w:t xml:space="preserve">      ·   ES: Colegio Electoral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“Electoral College”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Winner-Take-All</w:t>
            </w:r>
            <w:r>
              <w:rPr>
                <w:b w:val="false"/>
                <w:bCs w:val="false"/>
                <w:i w:val="false"/>
                <w:iCs w:val="false"/>
                <w:color w:val="D9D5C8"/>
                <w:sz w:val="27"/>
                <w:szCs w:val="27"/>
                <w:caps w:val="false"/>
                <w:rFonts w:ascii="Calibri" w:cs="Calibri" w:eastAsia="Calibri" w:hAnsi="Calibri"/>
              </w:rPr>
              <w:t xml:space="preserve">      ·   ES: el ganador se lleva todo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“Winner-Take-All”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32"/>
                <w:szCs w:val="32"/>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32"/>
                <w:szCs w:val="32"/>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32"/>
                <w:szCs w:val="32"/>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 State one argument for and one against the Electoral College, and say which you find stronger.</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u4-gc18-dok1-1 · pre-field-test]</w:t>
      </w:r>
    </w:p>
    <w:p>
      <w:pPr>
        <w:spacing w:after="100"/>
      </w:pPr>
      <w:r>
        <w:rPr>
          <w:b/>
          <w:bCs/>
          <w:i w:val="false"/>
          <w:iCs w:val="false"/>
          <w:color w:val="1A1A1A"/>
          <w:sz w:val="32"/>
          <w:szCs w:val="32"/>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218</w:t>
      </w:r>
    </w:p>
    <w:p>
      <w:pPr>
        <w:spacing w:after="20"/>
        <w:ind w:left="260"/>
      </w:pPr>
      <w:r>
        <w:rPr>
          <w:b w:val="false"/>
          <w:bCs w:val="false"/>
          <w:i w:val="false"/>
          <w:iCs w:val="false"/>
          <w:color w:val="1A1A1A"/>
          <w:sz w:val="30"/>
          <w:szCs w:val="30"/>
          <w:caps w:val="false"/>
          <w:rFonts w:ascii="Calibri" w:cs="Calibri" w:eastAsia="Calibri" w:hAnsi="Calibri"/>
        </w:rPr>
        <w:t xml:space="preserve">B. 270</w:t>
      </w:r>
    </w:p>
    <w:p>
      <w:pPr>
        <w:spacing w:after="20"/>
        <w:ind w:left="260"/>
      </w:pPr>
      <w:r>
        <w:rPr>
          <w:b w:val="false"/>
          <w:bCs w:val="false"/>
          <w:i w:val="false"/>
          <w:iCs w:val="false"/>
          <w:color w:val="1A1A1A"/>
          <w:sz w:val="30"/>
          <w:szCs w:val="30"/>
          <w:caps w:val="false"/>
          <w:rFonts w:ascii="Calibri" w:cs="Calibri" w:eastAsia="Calibri" w:hAnsi="Calibri"/>
        </w:rPr>
        <w:t xml:space="preserve">C. 435</w:t>
      </w:r>
    </w:p>
    <w:p>
      <w:pPr>
        <w:spacing w:after="20"/>
        <w:ind w:left="260"/>
      </w:pPr>
      <w:r>
        <w:rPr>
          <w:b w:val="false"/>
          <w:bCs w:val="false"/>
          <w:i w:val="false"/>
          <w:iCs w:val="false"/>
          <w:color w:val="1A1A1A"/>
          <w:sz w:val="30"/>
          <w:szCs w:val="30"/>
          <w:caps w:val="false"/>
          <w:rFonts w:ascii="Calibri" w:cs="Calibri" w:eastAsia="Calibri" w:hAnsi="Calibri"/>
        </w:rPr>
        <w:t xml:space="preserve">D. 538</w:t>
      </w:r>
    </w:p>
    <w:p>
      <w:pPr>
        <w:spacing w:after="100"/>
      </w:pPr>
      <w:r>
        <w:rPr>
          <w:b/>
          <w:bCs/>
          <w:i w:val="false"/>
          <w:iCs w:val="false"/>
          <w:color w:val="6B7280"/>
          <w:sz w:val="27"/>
          <w:szCs w:val="27"/>
          <w:caps w:val="false"/>
          <w:rFonts w:ascii="Calibri" w:cs="Calibri" w:eastAsia="Calibri" w:hAnsi="Calibri"/>
        </w:rPr>
        <w:t xml:space="preserve">[DOK 3 · item u1-gc18-dok3-tc · pre-field-test]</w:t>
      </w:r>
    </w:p>
    <w:p>
      <w:pPr>
        <w:spacing w:after="100"/>
      </w:pPr>
      <w:r>
        <w:rPr>
          <w:b/>
          <w:bCs/>
          <w:i w:val="false"/>
          <w:iCs w:val="false"/>
          <w:color w:val="1A1A1A"/>
          <w:sz w:val="32"/>
          <w:szCs w:val="32"/>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30"/>
          <w:szCs w:val="3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30"/>
          <w:szCs w:val="3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GC.16: </w:t>
      </w:r>
      <w:r>
        <w:rPr>
          <w:b w:val="false"/>
          <w:bCs w:val="false"/>
          <w:i w:val="false"/>
          <w:iCs w:val="false"/>
          <w:color w:val="1A1A1A"/>
          <w:sz w:val="32"/>
          <w:szCs w:val="32"/>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32"/>
          <w:szCs w:val="32"/>
          <w:caps w:val="false"/>
          <w:rFonts w:ascii="Calibri" w:cs="Calibri" w:eastAsia="Calibri" w:hAnsi="Calibri"/>
        </w:rPr>
        <w:t xml:space="preserve">GC.17: </w:t>
      </w:r>
      <w:r>
        <w:rPr>
          <w:b w:val="false"/>
          <w:bCs w:val="false"/>
          <w:i w:val="false"/>
          <w:iCs w:val="false"/>
          <w:color w:val="1A1A1A"/>
          <w:sz w:val="32"/>
          <w:szCs w:val="32"/>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32"/>
          <w:szCs w:val="32"/>
          <w:caps w:val="false"/>
          <w:rFonts w:ascii="Calibri" w:cs="Calibri" w:eastAsia="Calibri" w:hAnsi="Calibri"/>
        </w:rPr>
        <w:t xml:space="preserve">GC.18: </w:t>
      </w:r>
      <w:r>
        <w:rPr>
          <w:b w:val="false"/>
          <w:bCs w:val="false"/>
          <w:i w:val="false"/>
          <w:iCs w:val="false"/>
          <w:color w:val="1A1A1A"/>
          <w:sz w:val="32"/>
          <w:szCs w:val="32"/>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GC.16 — Article II &amp; the Presidency</w:t>
      </w:r>
    </w:p>
    <w:p>
      <w:pPr>
        <w:spacing w:after="100"/>
      </w:pPr>
      <w:r>
        <w:rPr>
          <w:b/>
          <w:bCs/>
          <w:i w:val="false"/>
          <w:iCs w:val="false"/>
          <w:color w:val="1A1A1A"/>
          <w:sz w:val="29"/>
          <w:szCs w:val="29"/>
          <w:caps w:val="false"/>
          <w:rFonts w:ascii="Calibri" w:cs="Calibri" w:eastAsia="Calibri" w:hAnsi="Calibri"/>
        </w:rPr>
        <w:t xml:space="preserve">U.S. Constitution, Article II, Section 1 (Oath).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GC.17 — Departments of the Executive Branch</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3 (Take Care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GC.18 — The Electoral College</w:t>
      </w:r>
    </w:p>
    <w:p>
      <w:pPr>
        <w:spacing w:after="100"/>
      </w:pPr>
      <w:r>
        <w:rPr>
          <w:b/>
          <w:bCs/>
          <w:i w:val="false"/>
          <w:iCs w:val="false"/>
          <w:color w:val="1A1A1A"/>
          <w:sz w:val="29"/>
          <w:szCs w:val="29"/>
          <w:caps w:val="false"/>
          <w:rFonts w:ascii="Calibri" w:cs="Calibri" w:eastAsia="Calibri" w:hAnsi="Calibri"/>
        </w:rPr>
        <w:t xml:space="preserve">U.S. Constitution, Article 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68. </w:t>
      </w:r>
      <w:r>
        <w:rPr>
          <w:b w:val="false"/>
          <w:bCs w:val="false"/>
          <w:i w:val="false"/>
          <w:iCs w:val="false"/>
          <w:color w:val="1A1A1A"/>
          <w:sz w:val="29"/>
          <w:szCs w:val="2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54"/>
          <w:szCs w:val="54"/>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33"/>
          <w:szCs w:val="33"/>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Energy in the Executive</w:t>
      </w:r>
    </w:p>
    <w:p>
      <w:pPr>
        <w:spacing w:after="100"/>
      </w:pPr>
      <w:r>
        <w:rPr>
          <w:b w:val="false"/>
          <w:bCs w:val="false"/>
          <w:i w:val="false"/>
          <w:iCs w:val="false"/>
          <w:color w:val="1A1A1A"/>
          <w:sz w:val="32"/>
          <w:szCs w:val="32"/>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42"/>
          <w:szCs w:val="42"/>
          <w:caps w:val="false"/>
          <w:rFonts w:ascii="Calibri" w:cs="Calibri" w:eastAsia="Calibri" w:hAnsi="Calibri"/>
        </w:rPr>
        <w:t xml:space="preserve">Fear of a King</w:t>
      </w:r>
    </w:p>
    <w:p>
      <w:pPr>
        <w:spacing w:after="100"/>
      </w:pPr>
      <w:r>
        <w:rPr>
          <w:b w:val="false"/>
          <w:bCs w:val="false"/>
          <w:i w:val="false"/>
          <w:iCs w:val="false"/>
          <w:color w:val="1A1A1A"/>
          <w:sz w:val="32"/>
          <w:szCs w:val="32"/>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42"/>
          <w:szCs w:val="42"/>
          <w:caps w:val="false"/>
          <w:rFonts w:ascii="Calibri" w:cs="Calibri" w:eastAsia="Calibri" w:hAnsi="Calibri"/>
        </w:rPr>
        <w:t xml:space="preserve">The Bureaucracy</w:t>
      </w:r>
    </w:p>
    <w:p>
      <w:pPr>
        <w:spacing w:after="100"/>
      </w:pPr>
      <w:r>
        <w:rPr>
          <w:b w:val="false"/>
          <w:bCs w:val="false"/>
          <w:i w:val="false"/>
          <w:iCs w:val="false"/>
          <w:color w:val="1A1A1A"/>
          <w:sz w:val="32"/>
          <w:szCs w:val="32"/>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42"/>
          <w:szCs w:val="42"/>
          <w:caps w:val="false"/>
          <w:rFonts w:ascii="Calibri" w:cs="Calibri" w:eastAsia="Calibri" w:hAnsi="Calibri"/>
        </w:rPr>
        <w:t xml:space="preserve">The Electoral College</w:t>
      </w:r>
    </w:p>
    <w:p>
      <w:pPr>
        <w:spacing w:after="100"/>
      </w:pPr>
      <w:r>
        <w:rPr>
          <w:b w:val="false"/>
          <w:bCs w:val="false"/>
          <w:i w:val="false"/>
          <w:iCs w:val="false"/>
          <w:color w:val="1A1A1A"/>
          <w:sz w:val="32"/>
          <w:szCs w:val="32"/>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xob9olmrmxtgl8zfg0mmt.png"/><Relationship Id="rId9" Type="http://schemas.openxmlformats.org/officeDocument/2006/relationships/image" Target="media/vuyflubh_gudtrsyoxfgg.png"/><Relationship Id="rId10" Type="http://schemas.openxmlformats.org/officeDocument/2006/relationships/image" Target="media/rzigmsujbihvbodb1uyy9.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2026-07-31T01:05:54.381Z</dcterms:created>
  <dcterms:modified xsi:type="dcterms:W3CDTF">2026-07-31T01:05:54.381Z</dcterms:modified>
</cp:coreProperties>
</file>

<file path=docProps/custom.xml><?xml version="1.0" encoding="utf-8"?>
<Properties xmlns="http://schemas.openxmlformats.org/officeDocument/2006/custom-properties" xmlns:vt="http://schemas.openxmlformats.org/officeDocument/2006/docPropsVTypes"/>
</file>