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Unit 6 — Teacher How-to-Use &amp; MTSS Guide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Civil Liberties · Course Standard · GC.23–GC.27 · Grades 9–12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1. Firm Goals, Flexible Means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The same six labels students see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7153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Meaning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Essential instruction every student completes.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Optional scaffold that keeps the goal, not lowers it.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Vocabulary, pronunciation, and Spanish cognates.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Write, say/record, or diagram.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Quick DOK-2/3 check to guide reteach or extend.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2. Label-to-Action Table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5"/>
        <w:gridCol w:w="6747"/>
      </w:tblGrid>
      <w:tr>
        <w:trPr>
          <w:tblHeader/>
        </w:trP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 you see…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 this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Teach to all; this is the standard expectation.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 / Guided Back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to any student; never assign by track.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3. MTSS — Tiers of Support Intensity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248"/>
        <w:gridCol w:w="4717"/>
      </w:tblGrid>
      <w:tr>
        <w:trPr>
          <w:tblHeader/>
        </w:trP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Tier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Who / when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1 (Core)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All students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2 (Targeted)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Students missing a Progress Check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Support Back, sentence frames, Rehearsal Lab.</w:t>
            </w:r>
          </w:p>
        </w:tc>
      </w:tr>
      <w:t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3 (Intensive)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Persistent barrier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4. The MTSS Decision Cycle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4"/>
          <w:szCs w:val="24"/>
          <w:rFonts w:ascii="Calibri" w:cs="Calibri" w:eastAsia="Calibri" w:hAnsi="Calibri"/>
        </w:rPr>
        <w:t xml:space="preserve">PROGRESS CHECK → identify barrier → select support → reteach → recheck → extend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5. District Review Evidence Snapshot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1"/>
        <w:gridCol w:w="6341"/>
      </w:tblGrid>
      <w:tr>
        <w:trPr>
          <w:tblHeader/>
        </w:trP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Criterion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shows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alignment (GC.23–GC.27)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&amp; SSP Crosswalk; per-standard blocks.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Public-domain sources, cited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Library; Activity 5 each standard.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UDL 3.0 visible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Accessibility matrix; callouts throughout.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MTSS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Assessment integrity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6. Direct Teaching + Cornell Notes + Slide Deck Workflow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Verified Lean Student Deck ranges (from the final 64-slide deck)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1928"/>
        <w:gridCol w:w="1928"/>
        <w:gridCol w:w="1471"/>
        <w:gridCol w:w="1522"/>
        <w:gridCol w:w="1522"/>
      </w:tblGrid>
      <w:tr>
        <w:trPr>
          <w:tblHeader/>
        </w:trP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Lean Deck range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Direct-teaching</w:t>
            </w: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Vocab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Primary source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Progress Check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7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7. What to Print and When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6544"/>
      </w:tblGrid>
      <w:tr>
        <w:trPr>
          <w:tblHeader/>
        </w:trP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Print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Universal Front (per standard)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Day 1 of each standard.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/ Light Support Backs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 request only; reverse of the front.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+ CER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Honest activity time estimates (pick what fills your 45 minutes)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9"/>
        <w:gridCol w:w="913"/>
        <w:gridCol w:w="5530"/>
      </w:tblGrid>
      <w:tr>
        <w:trPr>
          <w:tblHeader/>
        </w:trP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~Time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Note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 launch (hook · goal · activate · predict)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Frames the learning target and the day.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1 — Vocabulary Word Bank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Reference + self-check + quick-write.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2 — Vocabulary Studio (Frayer)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One priority term, four quadrants.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3 — Cornell Notes (with slide deck)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20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Direct-teaching capture — front + processing back.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4 — Close Read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Passage, annotation, text-dependent questions.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5 — Primary Source / Data (HIPPO)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+ five HIPPO prompts + response.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6 — Practice Quiz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 few items + one short DOK-3 write.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7 — CER + Exit Ticket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9. Assessment Source &amp; Item Metadata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standard’s Progress Check / Transfer Check is a Teacher-Deck Check for Understanding (DOK 2–3). The additional Practice-Quiz DOK-1 items are Government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De-biased key distribution (Transfer Checks, GC.23–GC.27)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 · D · A · C · A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10. Practice Quiz — Answer Key &amp; Rationales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GC.23 — The First Amendment in Court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u6-gc23-dok1-1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u1-gc23-dok3-tc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The Court held that students do not 'shed their constitutional rights… at the schoolhouse gate,' protecting non-disruptive student expression like the silent armband protest.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GC.24 — The Second Amendment in Court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u6-gc24-dok1-1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u1-gc24-dok2-tc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In Heller, the Court held that the Second Amendment 'conferred an individual right to keep and bear arms'; McDonald v. Chicago (2010) then applied that right to the states through incorporation.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GC.25 — Rights of the Accused (4th–8th Amendments)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u6-gc25-dok1-1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u1-gc25-dok2-tc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Gideon held that a fair trial requires counsel, so the state must provide a lawyer to defendants too poor to hire one — applying the 6th Amendment to the states.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GC.26 — The 14th Amendment — Equal Protection &amp; Due Process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u6-gc26-dok1-1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u1-gc26-dok3-tc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Brown held that segregated schools violate the Equal Protection Clause because 'separate educational facilities are inherently unequal,' overturning the 'separate but equal' doctrine of Plessy v. Ferguson.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GC.27 — Rights for the Underserved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u6-gc27-dok1-1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u1-gc27-dok2-tc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Title IX bars sex discrimination in any education program or activity that receives federal funds — a landmark for equal opportunity, including in school sports.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11. How CAST UDL 3.0 Is Visible in Unit 1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7153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UDL principle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Engagement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Representation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Action &amp; Expression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No fixed-track labels appear anywhere in the student materials; supports are universal and optional.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12. Printable Blank Templates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Cornell Notes — Universal Front (printable)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    Class / Period: __________    Date: __________    Topic: ______________________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9"/>
        <w:gridCol w:w="7153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Guiding cues (about 25%)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The 25/75 split describes the approximate width of each writing column (label, not a fixed track).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56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Print duplex: the Guided or Light Support for these notes goes on the reverse of this page.</w:t>
      </w:r>
    </w:p>
    <w:p>
      <w:r>
        <w:br w:type="page"/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Vocabulary Studio — Frayer (printable)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Complete the studio by writing, speaking, or diagramming.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89B3C"/>
                <w:sz w:val="16"/>
                <w:szCs w:val="16"/>
                <w:rFonts w:ascii="Calibri" w:cs="Calibri" w:eastAsia="Calibri" w:hAnsi="Calibri"/>
              </w:rPr>
              <w:t xml:space="preserve">PRIORITY TERM</w:t>
            </w:r>
            <w:r>
              <w:rPr>
                <w:b/>
                <w:bCs/>
                <w:i w:val="false"/>
                <w:iCs w:val="false"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0"/>
          <w:szCs w:val="20"/>
          <w:rFonts w:ascii="Calibri" w:cs="Calibri" w:eastAsia="Calibri" w:hAnsi="Calibri"/>
        </w:rPr>
        <w:t xml:space="preserve">Word-bank meaning to build on: ______________________________________________________________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6"/>
        <w:gridCol w:w="4896"/>
      </w:tblGrid>
      <w:tr>
        <w:trPr>
          <w:tblHeader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Definition (in your own words)</w:t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Examples</w:t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13. Social Studies Practices (SSP) Crosswalk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1928"/>
        <w:gridCol w:w="4616"/>
      </w:tblGrid>
      <w:tr>
        <w:trPr>
          <w:tblHeader/>
        </w:trP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Builds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Practice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Notes (Activity 3)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SSP.05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Close Read (Activity 4)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SSP.03 · SSP.05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Primary Source / HIPPO (Activity 5)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 · SSP.02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(G-tagged standards)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SSP.06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(Activity 6)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SSP.01–06 (assessed)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Applied across items.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(Activity 7)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SSP.04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Construct and communicate arguments citing supporting evidence.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Coverage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six practices (SSP.01–SSP.06) are built within every standard’s cycle.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14. Standard Dimension Coverage (C · E · G · H · P · T · TCA)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GC.23 — The First Amendment in Court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First Amendment interpretation shifted across a century of cases.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Tennessee's Scopes Trial (1925) was an early fight over speech and academic freedom.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GC.24 — The Second Amendment in Court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Tennessee's own firearm laws fit within the limits the Court has allowed.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GC.25 — Rights of the Accused (4th–8th Amendments)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Court expanded the rights of the accused across the 1960s.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these federal protections apply in Tennessee's own courts.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GC.26 — The 14th Amendment — Equal Protection &amp; Due Process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14th Amendment's meaning shifted from Plessy (1896) to Brown (1954) to Obergefell (2015).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GC.27 — Rights for the Underserved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legislation and precedent widened the circle of protected rights over time.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Title IX and the ADA apply in Tennessee schools and workplaces.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15. Constructed Response (CER) — 6-Point Rubric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1725"/>
        <w:gridCol w:w="7255"/>
      </w:tblGrid>
      <w:tr>
        <w:trPr>
          <w:tblHeader/>
        </w:trP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Score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Level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 it looks like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Exemplary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Advanced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Proficient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Developing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Beginning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Swap in your bank’s exact CER rubric text if it differs; the 6-point scale (6 Exemplary → 1 Beginning) is the course convention.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16. Exit Ticket Answer Keys + What’s Next (reteach)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928"/>
        <w:gridCol w:w="710"/>
        <w:gridCol w:w="710"/>
        <w:gridCol w:w="5531"/>
      </w:tblGrid>
      <w:tr>
        <w:trPr>
          <w:tblHeader/>
        </w:trPr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53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What’s Next if a student misses it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24" w:bottom="1152" w:left="122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b w:val="false"/>
        <w:bCs w:val="false"/>
        <w:i w:val="false"/>
        <w:iCs w:val="false"/>
        <w:color w:val="6B7280"/>
        <w:sz w:val="15"/>
        <w:szCs w:val="15"/>
        <w:rFonts w:ascii="Calibri" w:cs="Calibri" w:eastAsia="Calibri" w:hAnsi="Calibri"/>
      </w:rPr>
      <w:t xml:space="preserve">Government Hack™ · Unit 6 Teacher Guide   © 2026 TroopToTeacher Technologies LLC   |   Page </w:t>
    </w:r>
    <w:r>
      <w:rPr>
        <w:b/>
        <w:bCs/>
        <w:color w:val="6B7280"/>
        <w:sz w:val="15"/>
        <w:szCs w:val="15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6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before="220" w:after="90"/>
      <w:outlineLvl w:val="0"/>
    </w:pPr>
    <w:rPr>
      <w:b/>
      <w:bCs/>
      <w:color w:val="1B2A4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pPr>
      <w:keepNext/>
      <w:spacing w:before="150" w:after="80"/>
      <w:outlineLvl w:val="1"/>
    </w:pPr>
    <w:rPr>
      <w:b/>
      <w:bCs/>
      <w:color w:val="1B2A4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pPr>
      <w:keepNext/>
      <w:spacing w:before="120" w:after="70"/>
      <w:outlineLvl w:val="2"/>
    </w:pPr>
    <w:rPr>
      <w:b/>
      <w:bCs/>
      <w:color w:val="B2223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Government Hack — Unit 6 Teacher How-to-Use &amp; MTSS Guide</dc:title>
  <dc:creator>TroopToTeacher Technologies LLC</dc:creator>
  <cp:lastModifiedBy>Un-named</cp:lastModifiedBy>
  <cp:revision>1</cp:revision>
  <dcterms:created xsi:type="dcterms:W3CDTF">2026-07-30T11:52:13.476Z</dcterms:created>
  <dcterms:modified xsi:type="dcterms:W3CDTF">2026-07-30T11:52:13.476Z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