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"/>
      </w:pPr>
      <w:r>
        <w:rPr>
          <w:b/>
          <w:bCs/>
          <w:color w:val="1F3A5F"/>
          <w:sz w:val="26"/>
          <w:szCs w:val="26"/>
        </w:rPr>
        <w:t xml:space="preserve">TroopToTeacher Technologies, LLC</w:t>
      </w:r>
    </w:p>
    <w:p>
      <w:pPr>
        <w:pBdr>
          <w:bottom w:val="single" w:color="1F3A5F" w:sz="12" w:space="6"/>
        </w:pBdr>
        <w:spacing w:after="200"/>
      </w:pPr>
      <w:r>
        <w:rPr>
          <w:color w:val="444444"/>
          <w:sz w:val="18"/>
          <w:szCs w:val="18"/>
        </w:rPr>
        <w:t xml:space="preserve">U.S. History Hack · U.S. History for Tennessee High Schools</w:t>
      </w:r>
    </w:p>
    <w:p>
      <w:pPr>
        <w:spacing w:after="60"/>
      </w:pPr>
      <w:r>
        <w:rPr>
          <w:b/>
          <w:bCs/>
          <w:color w:val="222222"/>
          <w:sz w:val="28"/>
          <w:szCs w:val="28"/>
        </w:rPr>
        <w:t xml:space="preserve">Correction Notice — AI-Tool Disclosure in U.S. History Hack Compliance Materials</w:t>
      </w:r>
    </w:p>
    <w:p>
      <w:pPr>
        <w:pBdr>
          <w:bottom w:val="single" w:color="C9D3DD" w:sz="6" w:space="6"/>
        </w:pBdr>
        <w:spacing w:after="200"/>
      </w:pPr>
      <w:r>
        <w:rPr>
          <w:sz w:val="4"/>
          <w:szCs w:val="4"/>
        </w:rPr>
        <w:t xml:space="preserve"/>
      </w:r>
    </w:p>
    <w:p>
      <w:pPr>
        <w:spacing w:after="40"/>
      </w:pPr>
      <w:r>
        <w:rPr>
          <w:b/>
          <w:bCs/>
          <w:color w:val="1F3A5F"/>
          <w:sz w:val="19"/>
          <w:szCs w:val="19"/>
        </w:rPr>
        <w:t xml:space="preserve">From:  </w:t>
      </w:r>
      <w:r>
        <w:rPr>
          <w:color w:val="222222"/>
          <w:sz w:val="19"/>
          <w:szCs w:val="19"/>
        </w:rPr>
        <w:t xml:space="preserve">Sean Reynolds, TroopToTeacher Technologies, LLC</w:t>
      </w:r>
    </w:p>
    <w:p>
      <w:pPr>
        <w:spacing w:after="40"/>
      </w:pPr>
      <w:r>
        <w:rPr>
          <w:b/>
          <w:bCs/>
          <w:color w:val="1F3A5F"/>
          <w:sz w:val="19"/>
          <w:szCs w:val="19"/>
        </w:rPr>
        <w:t xml:space="preserve">Contact:  </w:t>
      </w:r>
      <w:r>
        <w:rPr>
          <w:color w:val="222222"/>
          <w:sz w:val="19"/>
          <w:szCs w:val="19"/>
        </w:rPr>
        <w:t xml:space="preserve">sean.reynolds@trooptoteacher.com</w:t>
      </w:r>
    </w:p>
    <w:p>
      <w:pPr>
        <w:spacing w:after="40"/>
      </w:pPr>
      <w:r>
        <w:rPr>
          <w:b/>
          <w:bCs/>
          <w:color w:val="1F3A5F"/>
          <w:sz w:val="19"/>
          <w:szCs w:val="19"/>
        </w:rPr>
        <w:t xml:space="preserve">Date:  </w:t>
      </w:r>
      <w:r>
        <w:rPr>
          <w:color w:val="222222"/>
          <w:sz w:val="19"/>
          <w:szCs w:val="19"/>
        </w:rPr>
        <w:t xml:space="preserve">July 31, 2026</w:t>
      </w:r>
    </w:p>
    <w:p>
      <w:pPr>
        <w:spacing w:after="200"/>
      </w:pPr>
      <w:r>
        <w:rPr>
          <w:b/>
          <w:bCs/>
          <w:color w:val="1F3A5F"/>
          <w:sz w:val="19"/>
          <w:szCs w:val="19"/>
        </w:rPr>
        <w:t xml:space="preserve">Re:  </w:t>
      </w:r>
      <w:r>
        <w:rPr>
          <w:color w:val="222222"/>
          <w:sz w:val="19"/>
          <w:szCs w:val="19"/>
        </w:rPr>
        <w:t xml:space="preserve">Correction to how two AI authoring tools were described in previously shared compliance documents (AI Disclosure, Privacy Policy, Terms of Service, Data Processing Agreement, FERPA / Student-Data-Privacy Statement, and the Tennessee Compliance Matrix).</w:t>
      </w:r>
    </w:p>
    <w:p>
      <w:pPr>
        <w:spacing w:after="100" w:before="200"/>
      </w:pPr>
      <w:r>
        <w:rPr>
          <w:b/>
          <w:bCs/>
          <w:color w:val="1F3A5F"/>
          <w:sz w:val="24"/>
          <w:szCs w:val="24"/>
        </w:rPr>
        <w:t xml:space="preserve">Summary</w:t>
      </w:r>
    </w:p>
    <w:p>
      <w:pPr>
        <w:spacing w:after="160" w:line="276"/>
      </w:pPr>
      <w:r>
        <w:rPr>
          <w:sz w:val="20"/>
          <w:szCs w:val="20"/>
        </w:rPr>
        <w:t xml:space="preserve">In materials already shared with the district, our AI disclosures grouped two authoring-time AI tools — </w:t>
      </w:r>
      <w:r>
        <w:rPr>
          <w:b/>
          <w:bCs/>
          <w:sz w:val="20"/>
          <w:szCs w:val="20"/>
        </w:rPr>
        <w:t xml:space="preserve">Anthropic Claude</w:t>
      </w:r>
      <w:r>
        <w:rPr>
          <w:sz w:val="20"/>
          <w:szCs w:val="20"/>
        </w:rPr>
        <w:t xml:space="preserve"> and an </w:t>
      </w:r>
      <w:r>
        <w:rPr>
          <w:b/>
          <w:bCs/>
          <w:sz w:val="20"/>
          <w:szCs w:val="20"/>
        </w:rPr>
        <w:t xml:space="preserve">OpenAI</w:t>
      </w:r>
      <w:r>
        <w:rPr>
          <w:sz w:val="20"/>
          <w:szCs w:val="20"/>
        </w:rPr>
        <w:t xml:space="preserve"> model — together, which implied both were used to generate written content. That was imprecise. This notice states the correct division of use. </w:t>
      </w:r>
      <w:r>
        <w:rPr>
          <w:b/>
          <w:bCs/>
          <w:sz w:val="20"/>
          <w:szCs w:val="20"/>
        </w:rPr>
        <w:t xml:space="preserve">No underlying practice changed</w:t>
      </w:r>
      <w:r>
        <w:rPr>
          <w:sz w:val="20"/>
          <w:szCs w:val="20"/>
        </w:rPr>
        <w:t xml:space="preserve"> — only the description of which tool did what. We are sending this proactively in the interest of full transparency.</w:t>
      </w:r>
    </w:p>
    <w:p>
      <w:pPr>
        <w:spacing w:after="100" w:before="200"/>
      </w:pPr>
      <w:r>
        <w:rPr>
          <w:b/>
          <w:bCs/>
          <w:color w:val="1F3A5F"/>
          <w:sz w:val="24"/>
          <w:szCs w:val="24"/>
        </w:rPr>
        <w:t xml:space="preserve">What the documents said</w:t>
      </w:r>
    </w:p>
    <w:p>
      <w:pPr>
        <w:spacing w:after="160" w:line="276"/>
      </w:pPr>
      <w:r>
        <w:rPr>
          <w:sz w:val="20"/>
          <w:szCs w:val="20"/>
        </w:rPr>
        <w:t xml:space="preserve">Earlier versions described “third-party large language models (Anthropic Claude and OpenAI)” as authoring-time tools used to help draft content, without distinguishing their roles.</w:t>
      </w:r>
    </w:p>
    <w:p>
      <w:pPr>
        <w:spacing w:after="100" w:before="200"/>
      </w:pPr>
      <w:r>
        <w:rPr>
          <w:b/>
          <w:bCs/>
          <w:color w:val="1F3A5F"/>
          <w:sz w:val="24"/>
          <w:szCs w:val="24"/>
        </w:rPr>
        <w:t xml:space="preserve">What is accurate</w:t>
      </w:r>
    </w:p>
    <w:tbl>
      <w:tblPr>
        <w:tblW w:type="dxa" w:w="9360"/>
        <w:tblBorders>
          <w:top w:val="single" w:color="C9D3DD" w:sz="4"/>
          <w:left w:val="single" w:color="C9D3DD" w:sz="4"/>
          <w:bottom w:val="single" w:color="C9D3DD" w:sz="4"/>
          <w:right w:val="single" w:color="C9D3DD" w:sz="4"/>
          <w:insideH w:val="single" w:color="C9D3DD" w:sz="4"/>
          <w:insideV w:val="single" w:color="C9D3DD" w:sz="4"/>
        </w:tblBorders>
      </w:tblPr>
      <w:tblGrid>
        <w:gridCol w:w="2600"/>
        <w:gridCol w:w="6760"/>
      </w:tblGrid>
      <w:tr>
        <w:trPr>
          <w:tblHeader/>
        </w:trPr>
        <w:tc>
          <w:tcPr>
            <w:tcW w:type="dxa" w:w="2600"/>
            <w:shd w:fill="1F3A5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Tool</w:t>
            </w:r>
          </w:p>
        </w:tc>
        <w:tc>
          <w:tcPr>
            <w:tcW w:type="dxa" w:w="6760"/>
            <w:shd w:fill="1F3A5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What it was actually used for</w:t>
            </w:r>
          </w:p>
        </w:tc>
      </w:tr>
      <w:tr>
        <w:tc>
          <w:tcPr>
            <w:tcW w:type="dxa" w:w="26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Anthropic Claude</w:t>
            </w:r>
            <w:r>
              <w:rPr>
                <w:color w:val="444444"/>
                <w:sz w:val="18"/>
                <w:szCs w:val="18"/>
              </w:rPr>
              <w:t xml:space="preserve"> (large language model)</w:t>
            </w:r>
          </w:p>
        </w:tc>
        <w:tc>
          <w:tcPr>
            <w:tcW w:type="dxa" w:w="676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Drafting </w:t>
            </w:r>
            <w:r>
              <w:rPr>
                <w:b/>
                <w:bCs/>
                <w:sz w:val="19"/>
                <w:szCs w:val="19"/>
              </w:rPr>
              <w:t xml:space="preserve">text</w:t>
            </w:r>
            <w:r>
              <w:rPr>
                <w:sz w:val="19"/>
                <w:szCs w:val="19"/>
              </w:rPr>
              <w:t xml:space="preserve"> — instructional content and quiz questions.</w:t>
            </w:r>
          </w:p>
        </w:tc>
      </w:tr>
      <w:tr>
        <w:tc>
          <w:tcPr>
            <w:tcW w:type="dxa" w:w="26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OpenAI image-</w:t>
            </w:r>
            <w:r>
              <w:rPr>
                <w:b/>
                <w:bCs/>
                <w:sz w:val="19"/>
                <w:szCs w:val="19"/>
              </w:rPr>
              <w:t xml:space="preserve">generation model</w:t>
            </w:r>
          </w:p>
        </w:tc>
        <w:tc>
          <w:tcPr>
            <w:tcW w:type="dxa" w:w="676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Producing </w:t>
            </w:r>
            <w:r>
              <w:rPr>
                <w:b/>
                <w:bCs/>
                <w:sz w:val="19"/>
                <w:szCs w:val="19"/>
              </w:rPr>
              <w:t xml:space="preserve">illustrations only</w:t>
            </w:r>
            <w:r>
              <w:rPr>
                <w:sz w:val="19"/>
                <w:szCs w:val="19"/>
              </w:rPr>
              <w:t xml:space="preserve"> — printed workbook cover art, the narrative-story characters “C-Q130” and “CORE,” the in-app avatar images, and decorative icons.</w:t>
            </w:r>
          </w:p>
        </w:tc>
      </w:tr>
    </w:tbl>
    <w:p>
      <w:pPr>
        <w:spacing w:after="160" w:before="140" w:line="276"/>
      </w:pPr>
      <w:r>
        <w:rPr>
          <w:sz w:val="20"/>
          <w:szCs w:val="20"/>
        </w:rPr>
        <w:t xml:space="preserve">Every AI-assisted item — text and image alike — was reviewed, fact-checked, and approved by a qualified human educator before inclusion.</w:t>
      </w:r>
    </w:p>
    <w:p>
      <w:pPr>
        <w:spacing w:after="100" w:before="200"/>
      </w:pPr>
      <w:r>
        <w:rPr>
          <w:b/>
          <w:bCs/>
          <w:color w:val="1F3A5F"/>
          <w:sz w:val="24"/>
          <w:szCs w:val="24"/>
        </w:rPr>
        <w:t xml:space="preserve">What did not change</w:t>
      </w:r>
    </w:p>
    <w:p>
      <w:pPr>
        <w:pStyle w:val="ListParagraph"/>
        <w:numPr>
          <w:ilvl w:val="0"/>
          <w:numId w:val="2"/>
        </w:numPr>
        <w:spacing w:after="90" w:line="268"/>
      </w:pPr>
      <w:r>
        <w:rPr>
          <w:b/>
          <w:bCs/>
          <w:sz w:val="20"/>
          <w:szCs w:val="20"/>
        </w:rPr>
        <w:t xml:space="preserve">No AI runs at runtime.</w:t>
      </w:r>
      <w:r>
        <w:rPr>
          <w:sz w:val="20"/>
          <w:szCs w:val="20"/>
        </w:rPr>
        <w:t xml:space="preserve"> Students never interact with a language model or any AI system. All questions, feedback, definitions, hints, and adaptive logic are static, pre-authored, and deterministic (rule-based) — not machine-learning or LLM-driven.</w:t>
      </w:r>
    </w:p>
    <w:p>
      <w:pPr>
        <w:pStyle w:val="ListParagraph"/>
        <w:numPr>
          <w:ilvl w:val="0"/>
          <w:numId w:val="2"/>
        </w:numPr>
        <w:spacing w:after="90" w:line="268"/>
      </w:pPr>
      <w:r>
        <w:rPr>
          <w:b/>
          <w:bCs/>
          <w:sz w:val="20"/>
          <w:szCs w:val="20"/>
        </w:rPr>
        <w:t xml:space="preserve">No student data is ever sent to any AI tool</w:t>
      </w:r>
      <w:r>
        <w:rPr>
          <w:sz w:val="20"/>
          <w:szCs w:val="20"/>
        </w:rPr>
        <w:t xml:space="preserve"> — not to Anthropic, not to OpenAI, not to any other AI provider, at any time. Both tools were used only at authoring time, on public / non-PII inputs.</w:t>
      </w:r>
    </w:p>
    <w:p>
      <w:pPr>
        <w:pStyle w:val="ListParagraph"/>
        <w:numPr>
          <w:ilvl w:val="0"/>
          <w:numId w:val="2"/>
        </w:numPr>
        <w:spacing w:after="90" w:line="268"/>
      </w:pPr>
      <w:r>
        <w:rPr>
          <w:b/>
          <w:bCs/>
          <w:sz w:val="20"/>
          <w:szCs w:val="20"/>
        </w:rPr>
        <w:t xml:space="preserve">No image depicts a named or real person.</w:t>
      </w:r>
      <w:r>
        <w:rPr>
          <w:sz w:val="20"/>
          <w:szCs w:val="20"/>
        </w:rPr>
        <w:t xml:space="preserve"> All AI-generated imagery is fictional or generic.</w:t>
      </w:r>
    </w:p>
    <w:p>
      <w:pPr>
        <w:spacing w:after="100" w:before="200"/>
      </w:pPr>
      <w:r>
        <w:rPr>
          <w:b/>
          <w:bCs/>
          <w:color w:val="1F3A5F"/>
          <w:sz w:val="24"/>
          <w:szCs w:val="24"/>
        </w:rPr>
        <w:t xml:space="preserve">Additional step we have taken (AI-generated avatars paused)</w:t>
      </w:r>
    </w:p>
    <w:p>
      <w:pPr>
        <w:spacing w:after="160" w:line="276"/>
      </w:pPr>
      <w:r>
        <w:rPr>
          <w:sz w:val="20"/>
          <w:szCs w:val="20"/>
        </w:rPr>
        <w:t xml:space="preserve">Out of an abundance of caution, the in-app </w:t>
      </w:r>
      <w:r>
        <w:rPr>
          <w:b/>
          <w:bCs/>
          <w:sz w:val="20"/>
          <w:szCs w:val="20"/>
        </w:rPr>
        <w:t xml:space="preserve">AI-generated avatar images are currently paused / hidden</w:t>
      </w:r>
      <w:r>
        <w:rPr>
          <w:sz w:val="20"/>
          <w:szCs w:val="20"/>
        </w:rPr>
        <w:t xml:space="preserve"> in the product pending completion of an internal AI-provenance and copyright review. Students and all other users cannot see or select them while paused. This is reversible; we will not re-enable them until that review is complete. Provenance for each AI-generated image (tool, and — once confirmed from our archive — model version, prompts, and generation dates) is being recorded internally.</w:t>
      </w:r>
    </w:p>
    <w:p>
      <w:pPr>
        <w:spacing w:after="100" w:before="200"/>
      </w:pPr>
      <w:r>
        <w:rPr>
          <w:b/>
          <w:bCs/>
          <w:color w:val="1F3A5F"/>
          <w:sz w:val="24"/>
          <w:szCs w:val="24"/>
        </w:rPr>
        <w:t xml:space="preserve">Corrected documents</w:t>
      </w:r>
    </w:p>
    <w:p>
      <w:pPr>
        <w:spacing w:after="90" w:line="276"/>
      </w:pPr>
      <w:r>
        <w:rPr>
          <w:sz w:val="20"/>
          <w:szCs w:val="20"/>
        </w:rPr>
        <w:t xml:space="preserve">We have corrected the description across all affected materials and can re-share updated copies on request:</w:t>
      </w:r>
    </w:p>
    <w:p>
      <w:pPr>
        <w:pStyle w:val="ListParagraph"/>
        <w:numPr>
          <w:ilvl w:val="0"/>
          <w:numId w:val="2"/>
        </w:numPr>
        <w:spacing w:after="90" w:line="268"/>
      </w:pPr>
      <w:r>
        <w:rPr>
          <w:sz w:val="20"/>
          <w:szCs w:val="20"/>
        </w:rPr>
        <w:t xml:space="preserve">Public AI Disclosure page (English and Spanish)</w:t>
      </w:r>
    </w:p>
    <w:p>
      <w:pPr>
        <w:pStyle w:val="ListParagraph"/>
        <w:numPr>
          <w:ilvl w:val="0"/>
          <w:numId w:val="2"/>
        </w:numPr>
        <w:spacing w:after="90" w:line="268"/>
      </w:pPr>
      <w:r>
        <w:rPr>
          <w:sz w:val="20"/>
          <w:szCs w:val="20"/>
        </w:rPr>
        <w:t xml:space="preserve">Privacy Policy</w:t>
      </w:r>
    </w:p>
    <w:p>
      <w:pPr>
        <w:pStyle w:val="ListParagraph"/>
        <w:numPr>
          <w:ilvl w:val="0"/>
          <w:numId w:val="2"/>
        </w:numPr>
        <w:spacing w:after="90" w:line="268"/>
      </w:pPr>
      <w:r>
        <w:rPr>
          <w:sz w:val="20"/>
          <w:szCs w:val="20"/>
        </w:rPr>
        <w:t xml:space="preserve">Terms of Service</w:t>
      </w:r>
    </w:p>
    <w:p>
      <w:pPr>
        <w:pStyle w:val="ListParagraph"/>
        <w:numPr>
          <w:ilvl w:val="0"/>
          <w:numId w:val="2"/>
        </w:numPr>
        <w:spacing w:after="90" w:line="268"/>
      </w:pPr>
      <w:r>
        <w:rPr>
          <w:sz w:val="20"/>
          <w:szCs w:val="20"/>
        </w:rPr>
        <w:t xml:space="preserve">Data Processing Agreement (sub-processor list)</w:t>
      </w:r>
    </w:p>
    <w:p>
      <w:pPr>
        <w:pStyle w:val="ListParagraph"/>
        <w:numPr>
          <w:ilvl w:val="0"/>
          <w:numId w:val="2"/>
        </w:numPr>
        <w:spacing w:after="90" w:line="268"/>
      </w:pPr>
      <w:r>
        <w:rPr>
          <w:sz w:val="20"/>
          <w:szCs w:val="20"/>
        </w:rPr>
        <w:t xml:space="preserve">FERPA / Tennessee Student-Data-Privacy Statement</w:t>
      </w:r>
    </w:p>
    <w:p>
      <w:pPr>
        <w:pStyle w:val="ListParagraph"/>
        <w:numPr>
          <w:ilvl w:val="0"/>
          <w:numId w:val="2"/>
        </w:numPr>
        <w:spacing w:after="90" w:line="268"/>
      </w:pPr>
      <w:r>
        <w:rPr>
          <w:sz w:val="20"/>
          <w:szCs w:val="20"/>
        </w:rPr>
        <w:t xml:space="preserve">Tennessee State Law Compliance Matrix (AI-in-instruction row)</w:t>
      </w:r>
    </w:p>
    <w:p>
      <w:pPr>
        <w:spacing w:after="160" w:before="160" w:line="276"/>
      </w:pPr>
      <w:r>
        <w:rPr>
          <w:sz w:val="20"/>
          <w:szCs w:val="20"/>
        </w:rPr>
        <w:t xml:space="preserve">If it would be helpful, we are glad to walk through any of these with your technology or curriculum team.</w:t>
      </w:r>
    </w:p>
    <w:p>
      <w:pPr>
        <w:spacing w:after="40" w:before="200"/>
      </w:pPr>
      <w:r>
        <w:rPr>
          <w:sz w:val="20"/>
          <w:szCs w:val="20"/>
        </w:rPr>
        <w:t xml:space="preserve">Respectfully,</w:t>
      </w:r>
    </w:p>
    <w:p>
      <w:pPr>
        <w:spacing w:after="0"/>
      </w:pPr>
      <w:r>
        <w:rPr>
          <w:b/>
          <w:bCs/>
          <w:color w:val="1F3A5F"/>
          <w:sz w:val="20"/>
          <w:szCs w:val="20"/>
        </w:rPr>
        <w:t xml:space="preserve">Sean Reynolds</w:t>
      </w:r>
    </w:p>
    <w:p>
      <w:pPr>
        <w:spacing w:after="0"/>
      </w:pPr>
      <w:r>
        <w:rPr>
          <w:color w:val="222222"/>
          <w:sz w:val="19"/>
          <w:szCs w:val="19"/>
        </w:rPr>
        <w:t xml:space="preserve">TroopToTeacher Technologies, LLC</w:t>
      </w:r>
    </w:p>
    <w:p>
      <w:pPr>
        <w:spacing w:after="200"/>
      </w:pPr>
      <w:r>
        <w:rPr>
          <w:color w:val="222222"/>
          <w:sz w:val="19"/>
          <w:szCs w:val="19"/>
        </w:rPr>
        <w:t xml:space="preserve">sean.reynolds@trooptoteacher.com</w:t>
      </w:r>
    </w:p>
    <w:p>
      <w:pPr>
        <w:pBdr>
          <w:top w:val="single" w:color="C9D3DD" w:sz="6" w:space="6"/>
        </w:pBdr>
        <w:spacing w:before="120"/>
      </w:pPr>
      <w:r>
        <w:rPr>
          <w:i/>
          <w:iCs/>
          <w:color w:val="444444"/>
          <w:sz w:val="17"/>
          <w:szCs w:val="17"/>
        </w:rPr>
        <w:t xml:space="preserve">This notice is provided for transparency and does not constitute legal advice.</w:t>
      </w:r>
    </w:p>
    <w:sectPr>
      <w:pgSz w:w="12240" w:h="15840" w:orient="portrait"/>
      <w:pgMar w:top="1080" w:right="1440" w:bottom="108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20"/>
      </w:pPr>
      <w:rPr>
        <w:color w:val="1F3A5F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2026-08-01T05:21:04.974Z</dcterms:created>
  <dcterms:modified xsi:type="dcterms:W3CDTF">2026-08-01T05:21:04.974Z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