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1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120"/>
      </w:tblGrid>
      <w:tr>
        <w:trPr>
          <w:trHeight w:val="14720" w:hRule="atLeast"/>
        </w:trPr>
        <w:tc>
          <w:tcPr>
            <w:tcW w:type="dxa" w:w="11120"/>
            <w:tcBorders>
              <w:top w:val="none"/>
              <w:left w:val="none"/>
              <w:bottom w:val="none"/>
              <w:right w:val="none"/>
            </w:tcBorders>
            <w:shd w:fill="1B2A4A" w:color="auto" w:val="clear"/>
            <w:tcMar>
              <w:top w:type="dxa" w:w="340"/>
              <w:left w:type="dxa" w:w="520"/>
              <w:bottom w:type="dxa" w:w="340"/>
              <w:right w:type="dxa" w:w="520"/>
            </w:tcMar>
            <w:vAlign w:val="center"/>
          </w:tcPr>
          <w:p>
            <w:pPr>
              <w:spacing w:after="26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/>
                <w:color w:val="C89B3C"/>
                <w:sz w:val="30"/>
                <w:szCs w:val="30"/>
              </w:rPr>
              <w:t xml:space="preserve">U.S. HISTORY HACK™</w:t>
            </w:r>
          </w:p>
          <w:tbl>
            <w:tblPr>
              <w:tblW w:type="dxa" w:w="9920"/>
              <w:jc w:val="center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920"/>
            </w:tblGrid>
            <w:tr>
              <w:tc>
                <w:tcPr>
                  <w:tcW w:type="dxa" w:w="9920"/>
                  <w:tcBorders>
                    <w:top w:val="none"/>
                    <w:left w:val="none"/>
                    <w:bottom w:val="none"/>
                    <w:right w:val="none"/>
                  </w:tcBorders>
                  <w:shd w:fill="B22234" w:color="auto" w:val="clear"/>
                  <w:tcMar>
                    <w:top w:type="dxa" w:w="90"/>
                    <w:left w:type="dxa" w:w="120"/>
                    <w:bottom w:type="dxa" w:w="90"/>
                    <w:right w:type="dxa" w:w="120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i w:val="false"/>
                      <w:iCs w:val="false"/>
                      <w:caps/>
                      <w:color w:val="FFFFFF"/>
                      <w:sz w:val="17"/>
                      <w:szCs w:val="17"/>
                    </w:rPr>
                    <w:t xml:space="preserve">COURSE STANDARD  ·  PLATINUM EDITION</w:t>
                  </w:r>
                </w:p>
              </w:tc>
            </w:tr>
          </w:tbl>
          <w:p>
            <w:pPr>
              <w:spacing w:after="17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0"/>
                <w:szCs w:val="10"/>
              </w:rPr>
              <w:t xml:space="preserve"/>
            </w:r>
          </w:p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/>
                <w:color w:val="FFFFFF"/>
                <w:sz w:val="52"/>
                <w:szCs w:val="52"/>
              </w:rPr>
              <w:t xml:space="preserve">THE PROGRESSIVE</w:t>
            </w:r>
          </w:p>
          <w:p>
            <w:pPr>
              <w:spacing w:after="2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/>
                <w:color w:val="C89B3C"/>
                <w:sz w:val="52"/>
                <w:szCs w:val="52"/>
              </w:rPr>
              <w:t xml:space="preserve">ERA</w:t>
            </w:r>
          </w:p>
          <w:p>
            <w:pPr>
              <w:spacing w:after="6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FFFFFF"/>
                <w:sz w:val="30"/>
                <w:szCs w:val="30"/>
              </w:rPr>
              <w:t xml:space="preserve">1890–1920</w:t>
            </w:r>
          </w:p>
          <w:p>
            <w:pPr>
              <w:pBdr>
                <w:top w:val="single" w:color="B22234" w:sz="14" w:space="6"/>
                <w:bottom w:val="single" w:color="B22234" w:sz="14" w:space="6"/>
              </w:pBdr>
              <w:spacing w:after="4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FFFFFF"/>
                <w:sz w:val="20"/>
                <w:szCs w:val="20"/>
              </w:rPr>
              <w:t xml:space="preserve">  Unit 2  ·  High-School U.S. History  ·  Standards-Aligned  </w:t>
            </w:r>
          </w:p>
          <w:p>
            <w:pPr>
              <w:pBdr>
                <w:top w:val="single" w:color="C89B3C" w:sz="18" w:space="8"/>
                <w:bottom w:val="single" w:color="C89B3C" w:sz="18" w:space="8"/>
              </w:pBdr>
              <w:spacing w:after="30" w:before="120"/>
              <w:jc w:val="center"/>
            </w:pPr>
            <w:r>
              <w:drawing>
                <wp:inline distT="0" distB="0" distL="0" distR="0">
                  <wp:extent cx="5715000" cy="4476750"/>
                  <wp:effectExtent t="0" r="0" b="0" l="0"/>
                  <wp:docPr id="1" name="cover-hero" descr="Pennsylvania Avenue, Washington, D.C., early 1900s · Library of Congress · Public domain" title="Cover im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15000" cy="4476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aps w:val="false"/>
                <w:color w:val="FFFFFF"/>
                <w:sz w:val="14"/>
                <w:szCs w:val="14"/>
              </w:rPr>
              <w:t xml:space="preserve">Pennsylvania Avenue, Washington, D.C., early 1900s · Library of Congress · Public domain</w:t>
            </w:r>
          </w:p>
          <w:tbl>
            <w:tblPr>
              <w:tblW w:type="dxa" w:w="9920"/>
              <w:jc w:val="center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920"/>
            </w:tblGrid>
            <w:tr>
              <w:tc>
                <w:tcPr>
                  <w:tcW w:type="dxa" w:w="9920"/>
                  <w:tcBorders>
                    <w:top w:val="none"/>
                    <w:left w:val="none"/>
                    <w:bottom w:val="none"/>
                    <w:right w:val="none"/>
                  </w:tcBorders>
                  <w:shd w:fill="B22234" w:color="auto" w:val="clear"/>
                  <w:tcMar>
                    <w:top w:type="dxa" w:w="90"/>
                    <w:left w:type="dxa" w:w="120"/>
                    <w:bottom w:type="dxa" w:w="90"/>
                    <w:right w:type="dxa" w:w="120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i w:val="false"/>
                      <w:iCs w:val="false"/>
                      <w:caps/>
                      <w:color w:val="FFFFFF"/>
                      <w:sz w:val="26"/>
                      <w:szCs w:val="26"/>
                    </w:rPr>
                    <w:t xml:space="preserve">GRAPHIC ORGANIZER TOOLKIT</w:t>
                  </w:r>
                </w:p>
              </w:tc>
            </w:tr>
          </w:tbl>
          <w:p>
            <w:pPr>
              <w:spacing w:after="7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0"/>
                <w:szCs w:val="10"/>
              </w:rPr>
              <w:t xml:space="preserve"/>
            </w:r>
          </w:p>
          <w:tbl>
            <w:tblPr>
              <w:tblW w:type="dxa" w:w="11120"/>
              <w:jc w:val="center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686"/>
              <w:gridCol w:w="1686"/>
              <w:gridCol w:w="1686"/>
              <w:gridCol w:w="1686"/>
              <w:gridCol w:w="1686"/>
              <w:gridCol w:w="1686"/>
            </w:tblGrid>
            <w:tr>
              <w:tc>
                <w:tcPr>
                  <w:tcW w:type="dxa" w:w="1686"/>
                  <w:tcBorders>
                    <w:top w:val="single" w:color="C89B3C" w:sz="6" w:space="0"/>
                    <w:left w:val="single" w:color="C89B3C" w:sz="6" w:space="0"/>
                    <w:bottom w:val="single" w:color="C89B3C" w:sz="6" w:space="0"/>
                    <w:right w:val="single" w:color="C89B3C" w:sz="6" w:space="0"/>
                  </w:tcBorders>
                  <w:shd w:fill="1B2A4A" w:color="auto" w:val="clear"/>
                  <w:tcMar>
                    <w:top w:type="dxa" w:w="70"/>
                    <w:left w:type="dxa" w:w="40"/>
                    <w:bottom w:type="dxa" w:w="70"/>
                    <w:right w:type="dxa" w:w="4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i w:val="false"/>
                      <w:iCs w:val="false"/>
                      <w:caps/>
                      <w:color w:val="C89B3C"/>
                      <w:sz w:val="17"/>
                      <w:szCs w:val="17"/>
                    </w:rPr>
                    <w:t xml:space="preserve">UDL 3.0</w:t>
                  </w:r>
                </w:p>
              </w:tc>
              <w:tc>
                <w:tcPr>
                  <w:tcW w:type="dxa" w:w="1686"/>
                  <w:tcBorders>
                    <w:top w:val="single" w:color="C89B3C" w:sz="6" w:space="0"/>
                    <w:left w:val="single" w:color="C89B3C" w:sz="6" w:space="0"/>
                    <w:bottom w:val="single" w:color="C89B3C" w:sz="6" w:space="0"/>
                    <w:right w:val="single" w:color="C89B3C" w:sz="6" w:space="0"/>
                  </w:tcBorders>
                  <w:shd w:fill="1B2A4A" w:color="auto" w:val="clear"/>
                  <w:tcMar>
                    <w:top w:type="dxa" w:w="70"/>
                    <w:left w:type="dxa" w:w="40"/>
                    <w:bottom w:type="dxa" w:w="70"/>
                    <w:right w:type="dxa" w:w="4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i w:val="false"/>
                      <w:iCs w:val="false"/>
                      <w:caps/>
                      <w:color w:val="C89B3C"/>
                      <w:sz w:val="17"/>
                      <w:szCs w:val="17"/>
                    </w:rPr>
                    <w:t xml:space="preserve">MTSS</w:t>
                  </w:r>
                </w:p>
              </w:tc>
              <w:tc>
                <w:tcPr>
                  <w:tcW w:type="dxa" w:w="1686"/>
                  <w:tcBorders>
                    <w:top w:val="single" w:color="C89B3C" w:sz="6" w:space="0"/>
                    <w:left w:val="single" w:color="C89B3C" w:sz="6" w:space="0"/>
                    <w:bottom w:val="single" w:color="C89B3C" w:sz="6" w:space="0"/>
                    <w:right w:val="single" w:color="C89B3C" w:sz="6" w:space="0"/>
                  </w:tcBorders>
                  <w:shd w:fill="1B2A4A" w:color="auto" w:val="clear"/>
                  <w:tcMar>
                    <w:top w:type="dxa" w:w="70"/>
                    <w:left w:type="dxa" w:w="40"/>
                    <w:bottom w:type="dxa" w:w="70"/>
                    <w:right w:type="dxa" w:w="4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i w:val="false"/>
                      <w:iCs w:val="false"/>
                      <w:caps/>
                      <w:color w:val="C89B3C"/>
                      <w:sz w:val="17"/>
                      <w:szCs w:val="17"/>
                    </w:rPr>
                    <w:t xml:space="preserve">CER</w:t>
                  </w:r>
                </w:p>
              </w:tc>
              <w:tc>
                <w:tcPr>
                  <w:tcW w:type="dxa" w:w="1686"/>
                  <w:tcBorders>
                    <w:top w:val="single" w:color="C89B3C" w:sz="6" w:space="0"/>
                    <w:left w:val="single" w:color="C89B3C" w:sz="6" w:space="0"/>
                    <w:bottom w:val="single" w:color="C89B3C" w:sz="6" w:space="0"/>
                    <w:right w:val="single" w:color="C89B3C" w:sz="6" w:space="0"/>
                  </w:tcBorders>
                  <w:shd w:fill="1B2A4A" w:color="auto" w:val="clear"/>
                  <w:tcMar>
                    <w:top w:type="dxa" w:w="70"/>
                    <w:left w:type="dxa" w:w="40"/>
                    <w:bottom w:type="dxa" w:w="70"/>
                    <w:right w:type="dxa" w:w="4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i w:val="false"/>
                      <w:iCs w:val="false"/>
                      <w:caps/>
                      <w:color w:val="C89B3C"/>
                      <w:sz w:val="17"/>
                      <w:szCs w:val="17"/>
                    </w:rPr>
                    <w:t xml:space="preserve">Cornell</w:t>
                  </w:r>
                </w:p>
              </w:tc>
              <w:tc>
                <w:tcPr>
                  <w:tcW w:type="dxa" w:w="1686"/>
                  <w:tcBorders>
                    <w:top w:val="single" w:color="C89B3C" w:sz="6" w:space="0"/>
                    <w:left w:val="single" w:color="C89B3C" w:sz="6" w:space="0"/>
                    <w:bottom w:val="single" w:color="C89B3C" w:sz="6" w:space="0"/>
                    <w:right w:val="single" w:color="C89B3C" w:sz="6" w:space="0"/>
                  </w:tcBorders>
                  <w:shd w:fill="1B2A4A" w:color="auto" w:val="clear"/>
                  <w:tcMar>
                    <w:top w:type="dxa" w:w="70"/>
                    <w:left w:type="dxa" w:w="40"/>
                    <w:bottom w:type="dxa" w:w="70"/>
                    <w:right w:type="dxa" w:w="4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i w:val="false"/>
                      <w:iCs w:val="false"/>
                      <w:caps/>
                      <w:color w:val="C89B3C"/>
                      <w:sz w:val="17"/>
                      <w:szCs w:val="17"/>
                    </w:rPr>
                    <w:t xml:space="preserve">HIPPO</w:t>
                  </w:r>
                </w:p>
              </w:tc>
              <w:tc>
                <w:tcPr>
                  <w:tcW w:type="dxa" w:w="1686"/>
                  <w:tcBorders>
                    <w:top w:val="single" w:color="C89B3C" w:sz="6" w:space="0"/>
                    <w:left w:val="single" w:color="C89B3C" w:sz="6" w:space="0"/>
                    <w:bottom w:val="single" w:color="C89B3C" w:sz="6" w:space="0"/>
                    <w:right w:val="single" w:color="C89B3C" w:sz="6" w:space="0"/>
                  </w:tcBorders>
                  <w:shd w:fill="1B2A4A" w:color="auto" w:val="clear"/>
                  <w:tcMar>
                    <w:top w:type="dxa" w:w="70"/>
                    <w:left w:type="dxa" w:w="40"/>
                    <w:bottom w:type="dxa" w:w="70"/>
                    <w:right w:type="dxa" w:w="4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i w:val="false"/>
                      <w:iCs w:val="false"/>
                      <w:caps/>
                      <w:color w:val="C89B3C"/>
                      <w:sz w:val="17"/>
                      <w:szCs w:val="17"/>
                    </w:rPr>
                    <w:t xml:space="preserve">DOK</w:t>
                  </w:r>
                </w:p>
              </w:tc>
            </w:tr>
          </w:tbl>
          <w:p>
            <w:pPr>
              <w:spacing w:after="20" w:before="1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aps w:val="false"/>
                <w:color w:val="FFFFFF"/>
                <w:sz w:val="16"/>
                <w:szCs w:val="16"/>
              </w:rPr>
              <w:t xml:space="preserve">Universal Design for Learning  ·  Multi-Tiered Supports  ·  Evidence-Based Writing</w:t>
            </w:r>
          </w:p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/>
                <w:color w:val="C89B3C"/>
                <w:sz w:val="18"/>
                <w:szCs w:val="18"/>
              </w:rPr>
              <w:t xml:space="preserve">Teacher Edition</w:t>
            </w:r>
          </w:p>
          <w:p>
            <w:pPr>
              <w:spacing w:after="0" w:before="14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FFFFFF"/>
                <w:sz w:val="20"/>
                <w:szCs w:val="20"/>
              </w:rPr>
              <w:t xml:space="preserve">TroopToTeacher Technologies LLC</w:t>
            </w:r>
          </w:p>
        </w:tc>
      </w:tr>
    </w:tbl>
    <w:p>
      <w:pPr>
        <w:sectPr>
          <w:pgSz w:w="12240" w:h="15840" w:orient="portrait"/>
          <w:pgMar w:top="560" w:right="560" w:bottom="560" w:left="560" w:header="708" w:footer="708" w:gutter="0"/>
          <w:pgNumType/>
          <w:docGrid w:linePitch="360"/>
        </w:sectPr>
      </w:pPr>
    </w:p>
    <w:tbl>
      <w:tblPr>
        <w:tblW w:type="dxa" w:w="9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</w:tblGrid>
      <w:tr>
        <w:trPr>
          <w:trHeight w:val="14720" w:hRule="atLeast"/>
        </w:trPr>
        <w:tc>
          <w:tcPr>
            <w:tcW w:type="dxa" w:w="900"/>
            <w:tcBorders>
              <w:top w:val="none"/>
              <w:left w:val="none"/>
              <w:bottom w:val="none"/>
              <w:right w:val="none"/>
            </w:tcBorders>
            <w:shd w:fill="1B2A4A" w:color="auto" w:val="clear"/>
            <w:tcMar>
              <w:top w:type="dxa" w:w="200"/>
              <w:left w:type="dxa" w:w="60"/>
              <w:bottom w:type="dxa" w:w="200"/>
              <w:right w:type="dxa" w:w="60"/>
            </w:tcMar>
            <w:textDirection w:val="btL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/>
                <w:color w:val="C89B3C"/>
                <w:sz w:val="26"/>
                <w:szCs w:val="26"/>
              </w:rPr>
              <w:t xml:space="preserve">U.S. HISTORY HACK™  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FFFFFF"/>
                <w:sz w:val="22"/>
                <w:szCs w:val="22"/>
              </w:rPr>
              <w:t xml:space="preserve">Unit 2 — The Progressive Era (1890–1920)     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C89B3C"/>
                <w:sz w:val="18"/>
                <w:szCs w:val="18"/>
              </w:rPr>
              <w:t xml:space="preserve">GRAPHIC ORGANIZER TOOLKIT   ·   TroopToTeacher Technologies LLC</w:t>
            </w:r>
          </w:p>
        </w:tc>
      </w:tr>
    </w:tbl>
    <w:p>
      <w:pPr>
        <w:spacing w:after="60" w:before="16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1B2A4A"/>
          <w:sz w:val="20"/>
          <w:szCs w:val="20"/>
        </w:rPr>
        <w:t xml:space="preserve">SPINE</w:t>
      </w:r>
    </w:p>
    <w:p>
      <w:pPr>
        <w:spacing w:after="8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B22234"/>
          <w:sz w:val="19"/>
          <w:szCs w:val="19"/>
        </w:rPr>
        <w:t xml:space="preserve">Saddle-stitch.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19"/>
          <w:szCs w:val="19"/>
        </w:rPr>
        <w:t xml:space="preserve">At 43 pages the folded spine is only ≈ 0.097 in (2.5 mm) — too thin to print spine text; bind saddle-stitch (no printed spine). To get a printable spine, perfect-bind at ≥ ~48 pages, or combine thin teacher books into one volume. The spine panel above is provided for when this title is perfect-bound.</w:t>
      </w:r>
    </w:p>
    <w:p>
      <w:pPr>
        <w:sectPr>
          <w:pgSz w:w="12240" w:h="15840" w:orient="portrait"/>
          <w:pgMar w:top="560" w:right="560" w:bottom="560" w:left="560" w:header="708" w:footer="708" w:gutter="0"/>
          <w:pgNumType/>
          <w:docGrid w:linePitch="360"/>
        </w:sectPr>
      </w:pPr>
    </w:p>
    <w:tbl>
      <w:tblPr>
        <w:tblW w:type="dxa" w:w="11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120"/>
      </w:tblGrid>
      <w:tr>
        <w:trPr>
          <w:trHeight w:val="2000" w:hRule="atLeast"/>
        </w:trPr>
        <w:tc>
          <w:tcPr>
            <w:tcW w:type="dxa" w:w="11120"/>
            <w:tcBorders>
              <w:top w:val="none"/>
              <w:left w:val="none"/>
              <w:bottom w:val="none"/>
              <w:right w:val="none"/>
            </w:tcBorders>
            <w:shd w:fill="1B2A4A" w:color="auto" w:val="clear"/>
            <w:tcMar>
              <w:top w:type="dxa" w:w="340"/>
              <w:left w:type="dxa" w:w="520"/>
              <w:bottom w:type="dxa" w:w="340"/>
              <w:right w:type="dxa" w:w="52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/>
                <w:color w:val="C89B3C"/>
                <w:sz w:val="22"/>
                <w:szCs w:val="22"/>
              </w:rPr>
              <w:t xml:space="preserve">U.S. HISTORY HACK™</w:t>
            </w:r>
          </w:p>
          <w:p>
            <w:pPr>
              <w:spacing w:after="4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FFFFFF"/>
                <w:sz w:val="26"/>
                <w:szCs w:val="26"/>
              </w:rPr>
              <w:t xml:space="preserve">Reproducible thinking tools — blank and labeled, ready to print.</w:t>
            </w:r>
          </w:p>
          <w:p>
            <w:pPr>
              <w:spacing w:after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aps w:val="false"/>
                <w:color w:val="FFFFFF"/>
                <w:sz w:val="19"/>
                <w:szCs w:val="19"/>
              </w:rPr>
              <w:t xml:space="preserve">Unit 2 — The Progressive Era (1890–1920)  ·  Teacher Edition</w:t>
            </w:r>
          </w:p>
        </w:tc>
      </w:tr>
    </w:tbl>
    <w:p>
      <w:pPr>
        <w:spacing w:after="30" w:before="20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aps/>
          <w:color w:val="1B2A4A"/>
          <w:sz w:val="22"/>
          <w:szCs w:val="22"/>
        </w:rPr>
        <w:t xml:space="preserve">WHAT’S IN THE TOOLKIT</w:t>
      </w:r>
    </w:p>
    <w:tbl>
      <w:tblPr>
        <w:tblW w:type="dxa" w:w="2400"/>
        <w:jc w:val="left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</w:tblGrid>
      <w:tr>
        <w:trPr>
          <w:trHeight w:val="28"/>
        </w:trPr>
        <w:tc>
          <w:tcPr>
            <w:tcW w:type="dxa" w:w="2400"/>
            <w:tcBorders>
              <w:top w:val="none"/>
              <w:left w:val="none"/>
              <w:bottom w:val="none"/>
              <w:right w:val="none"/>
            </w:tcBorders>
            <w:shd w:fill="B22234" w:color="auto" w:val="clea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</w:tc>
      </w:tr>
    </w:tbl>
    <w:p>
      <w:pPr>
        <w:spacing w:after="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8"/>
          <w:szCs w:val="8"/>
        </w:rPr>
        <w:t xml:space="preserve"/>
      </w:r>
    </w:p>
    <w:p>
      <w:pPr>
        <w:spacing w:after="9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B22234"/>
          <w:sz w:val="20"/>
          <w:szCs w:val="20"/>
        </w:rPr>
        <w:t xml:space="preserve">◆  </w:t>
      </w: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1B2A4A"/>
          <w:sz w:val="20"/>
          <w:szCs w:val="20"/>
        </w:rPr>
        <w:t xml:space="preserve">The organizers the course runs on.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19"/>
          <w:szCs w:val="19"/>
        </w:rPr>
        <w:t xml:space="preserve">Frayer, CER, HIPPO, Cornell, cause–effect, timeline, T-chart, Venn, and more — on brand and classroom-ready.</w:t>
      </w:r>
    </w:p>
    <w:p>
      <w:pPr>
        <w:spacing w:after="9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B22234"/>
          <w:sz w:val="20"/>
          <w:szCs w:val="20"/>
        </w:rPr>
        <w:t xml:space="preserve">◆  </w:t>
      </w: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1B2A4A"/>
          <w:sz w:val="20"/>
          <w:szCs w:val="20"/>
        </w:rPr>
        <w:t xml:space="preserve">Blank and labeled versions.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19"/>
          <w:szCs w:val="19"/>
        </w:rPr>
        <w:t xml:space="preserve">A blank for open use and a guided/labeled version for scaffolding — pick by learner need.</w:t>
      </w:r>
    </w:p>
    <w:p>
      <w:pPr>
        <w:spacing w:after="9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B22234"/>
          <w:sz w:val="20"/>
          <w:szCs w:val="20"/>
        </w:rPr>
        <w:t xml:space="preserve">◆  </w:t>
      </w: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1B2A4A"/>
          <w:sz w:val="20"/>
          <w:szCs w:val="20"/>
        </w:rPr>
        <w:t xml:space="preserve">UDL response choice.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19"/>
          <w:szCs w:val="19"/>
        </w:rPr>
        <w:t xml:space="preserve">Students write, diagram, or map their thinking — multiple means of action and expression by design.</w:t>
      </w:r>
    </w:p>
    <w:p>
      <w:pPr>
        <w:spacing w:after="9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B22234"/>
          <w:sz w:val="20"/>
          <w:szCs w:val="20"/>
        </w:rPr>
        <w:t xml:space="preserve">◆  </w:t>
      </w: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1B2A4A"/>
          <w:sz w:val="20"/>
          <w:szCs w:val="20"/>
        </w:rPr>
        <w:t xml:space="preserve">A quick-use guide.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19"/>
          <w:szCs w:val="19"/>
        </w:rPr>
        <w:t xml:space="preserve">When and how to reach for each organizer, tied to the workbook activities.</w:t>
      </w:r>
    </w:p>
    <w:p>
      <w:pPr>
        <w:spacing w:after="9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B22234"/>
          <w:sz w:val="20"/>
          <w:szCs w:val="20"/>
        </w:rPr>
        <w:t xml:space="preserve">◆  </w:t>
      </w: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1B2A4A"/>
          <w:sz w:val="20"/>
          <w:szCs w:val="20"/>
        </w:rPr>
        <w:t xml:space="preserve">Reproducible for your class.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19"/>
          <w:szCs w:val="19"/>
        </w:rPr>
        <w:t xml:space="preserve">Print as needed for licensed classroom use.</w:t>
      </w:r>
    </w:p>
    <w:p>
      <w:pPr>
        <w:spacing w:after="9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B22234"/>
          <w:sz w:val="20"/>
          <w:szCs w:val="20"/>
        </w:rPr>
        <w:t xml:space="preserve">◆  </w:t>
      </w: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1B2A4A"/>
          <w:sz w:val="20"/>
          <w:szCs w:val="20"/>
        </w:rPr>
        <w:t xml:space="preserve">Consistent across the course.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19"/>
          <w:szCs w:val="19"/>
        </w:rPr>
        <w:t xml:space="preserve">The same tools students meet in every unit, so routines transfer.</w:t>
      </w:r>
    </w:p>
    <w:p>
      <w:pPr>
        <w:spacing w:after="30" w:before="12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aps/>
          <w:color w:val="1B2A4A"/>
          <w:sz w:val="21"/>
          <w:szCs w:val="21"/>
        </w:rPr>
        <w:t xml:space="preserve">INSIDE THIS UNIT — the eleven standards</w:t>
      </w:r>
    </w:p>
    <w:tbl>
      <w:tblPr>
        <w:tblW w:type="dxa" w:w="2400"/>
        <w:jc w:val="left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</w:tblGrid>
      <w:tr>
        <w:trPr>
          <w:trHeight w:val="28"/>
        </w:trPr>
        <w:tc>
          <w:tcPr>
            <w:tcW w:type="dxa" w:w="2400"/>
            <w:tcBorders>
              <w:top w:val="none"/>
              <w:left w:val="none"/>
              <w:bottom w:val="none"/>
              <w:right w:val="none"/>
            </w:tcBorders>
            <w:shd w:fill="B22234" w:color="auto" w:val="clea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</w:tc>
      </w:tr>
    </w:tbl>
    <w:p>
      <w:pPr>
        <w:spacing w:after="5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8"/>
          <w:szCs w:val="8"/>
        </w:rPr>
        <w:t xml:space="preserve"/>
      </w:r>
    </w:p>
    <w:p>
      <w:pPr>
        <w:spacing w:after="34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B22234"/>
          <w:sz w:val="19"/>
          <w:szCs w:val="19"/>
        </w:rPr>
        <w:t xml:space="preserve">US.08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19"/>
          <w:szCs w:val="19"/>
        </w:rPr>
        <w:t xml:space="preserve">Social Darwinism &amp; Social Gospel</w:t>
      </w:r>
    </w:p>
    <w:p>
      <w:pPr>
        <w:spacing w:after="34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B22234"/>
          <w:sz w:val="19"/>
          <w:szCs w:val="19"/>
        </w:rPr>
        <w:t xml:space="preserve">US.09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19"/>
          <w:szCs w:val="19"/>
        </w:rPr>
        <w:t xml:space="preserve">Booker T. Washington vs W.E.B. Du Bois</w:t>
      </w:r>
    </w:p>
    <w:p>
      <w:pPr>
        <w:spacing w:after="34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B22234"/>
          <w:sz w:val="19"/>
          <w:szCs w:val="19"/>
        </w:rPr>
        <w:t xml:space="preserve">US.10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19"/>
          <w:szCs w:val="19"/>
        </w:rPr>
        <w:t xml:space="preserve">Populism &amp; Granger Movement</w:t>
      </w:r>
    </w:p>
    <w:p>
      <w:pPr>
        <w:spacing w:after="34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B22234"/>
          <w:sz w:val="19"/>
          <w:szCs w:val="19"/>
        </w:rPr>
        <w:t xml:space="preserve">US.11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19"/>
          <w:szCs w:val="19"/>
        </w:rPr>
        <w:t xml:space="preserve">Rise of the Labor Movement</w:t>
      </w:r>
    </w:p>
    <w:p>
      <w:pPr>
        <w:spacing w:after="34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B22234"/>
          <w:sz w:val="19"/>
          <w:szCs w:val="19"/>
        </w:rPr>
        <w:t xml:space="preserve">US.12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19"/>
          <w:szCs w:val="19"/>
        </w:rPr>
        <w:t xml:space="preserve">Trusts, Monopolies &amp; Antitrust</w:t>
      </w:r>
    </w:p>
    <w:p>
      <w:pPr>
        <w:spacing w:after="34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B22234"/>
          <w:sz w:val="19"/>
          <w:szCs w:val="19"/>
        </w:rPr>
        <w:t xml:space="preserve">US.13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19"/>
          <w:szCs w:val="19"/>
        </w:rPr>
        <w:t xml:space="preserve">Working Conditions, Women &amp; Child Labor</w:t>
      </w:r>
    </w:p>
    <w:p>
      <w:pPr>
        <w:spacing w:after="34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B22234"/>
          <w:sz w:val="19"/>
          <w:szCs w:val="19"/>
        </w:rPr>
        <w:t xml:space="preserve">US.14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19"/>
          <w:szCs w:val="19"/>
        </w:rPr>
        <w:t xml:space="preserve">Muckrakers &amp; Progressive Idealists</w:t>
      </w:r>
    </w:p>
    <w:p>
      <w:pPr>
        <w:spacing w:after="34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B22234"/>
          <w:sz w:val="19"/>
          <w:szCs w:val="19"/>
        </w:rPr>
        <w:t xml:space="preserve">US.15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19"/>
          <w:szCs w:val="19"/>
        </w:rPr>
        <w:t xml:space="preserve">Progressive Movement Goals &amp; Achievements</w:t>
      </w:r>
    </w:p>
    <w:p>
      <w:pPr>
        <w:spacing w:after="34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B22234"/>
          <w:sz w:val="19"/>
          <w:szCs w:val="19"/>
        </w:rPr>
        <w:t xml:space="preserve">US.16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19"/>
          <w:szCs w:val="19"/>
        </w:rPr>
        <w:t xml:space="preserve">Theodore Roosevelt's Progressive Achievements</w:t>
      </w:r>
    </w:p>
    <w:p>
      <w:pPr>
        <w:spacing w:after="34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B22234"/>
          <w:sz w:val="19"/>
          <w:szCs w:val="19"/>
        </w:rPr>
        <w:t xml:space="preserve">US.17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19"/>
          <w:szCs w:val="19"/>
        </w:rPr>
        <w:t xml:space="preserve">Woodrow Wilson's Progressive Achievements</w:t>
      </w:r>
    </w:p>
    <w:p>
      <w:pPr>
        <w:spacing w:after="34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B22234"/>
          <w:sz w:val="19"/>
          <w:szCs w:val="19"/>
        </w:rPr>
        <w:t xml:space="preserve">US.18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19"/>
          <w:szCs w:val="19"/>
        </w:rPr>
        <w:t xml:space="preserve">Women's Suffrage Movement</w:t>
      </w:r>
    </w:p>
    <w:p>
      <w:pPr>
        <w:spacing w:after="120" w:before="120"/>
        <w:jc w:val="left"/>
      </w:pPr>
      <w:r>
        <w:rPr>
          <w:rFonts w:ascii="Calibri" w:cs="Calibri" w:eastAsia="Calibri" w:hAnsi="Calibri"/>
          <w:b w:val="false"/>
          <w:bCs w:val="false"/>
          <w:i/>
          <w:iCs/>
          <w:caps w:val="false"/>
          <w:color w:val="1A1A1A"/>
          <w:sz w:val="19"/>
          <w:szCs w:val="19"/>
        </w:rPr>
        <w:t xml:space="preserve">Part of the U.S. History Hack™ Course Standard series — a complete, standards-aligned system: Student Workbook · Teacher Edition · Student &amp; Teacher Slide Decks · Graphic Organizer Toolkit · Unit Assessment Book.</w:t>
      </w:r>
    </w:p>
    <w:tbl>
      <w:tblPr>
        <w:tblW w:type="dxa" w:w="11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720"/>
        <w:gridCol w:w="3400"/>
      </w:tblGrid>
      <w:tr>
        <w:tc>
          <w:tcPr>
            <w:tcW w:type="dxa" w:w="7720"/>
            <w:tcBorders>
              <w:top w:val="none"/>
              <w:left w:val="none"/>
              <w:bottom w:val="none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bottom"/>
          </w:tcPr>
          <w:p>
            <w:pPr>
              <w:spacing w:after="24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B2A4A"/>
                <w:sz w:val="20"/>
                <w:szCs w:val="20"/>
              </w:rPr>
              <w:t xml:space="preserve">TroopToTeacher Technologies LLC</w:t>
            </w:r>
          </w:p>
          <w:p>
            <w:pPr>
              <w:spacing w:after="2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U.S. History Hack™  ·  Course Standard (Platinum) Edition  ·  Teacher Edition</w:t>
            </w:r>
          </w:p>
          <w:p>
            <w:pPr>
              <w:spacing w:after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6B7280"/>
                <w:sz w:val="15"/>
                <w:szCs w:val="15"/>
              </w:rPr>
              <w:t xml:space="preserve">© 2026 TroopToTeacher Technologies LLC. All rights reserved. U.S. History Hack™ is a trademark of TroopToTeacher Technologies LLC. No part of this book may be reproduced without written permission, except as licensed for classroom use.</w:t>
            </w:r>
          </w:p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B2A4A"/>
                <w:sz w:val="17"/>
                <w:szCs w:val="17"/>
              </w:rPr>
              <w:t xml:space="preserve">www.trooptoteacher.com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6B7280"/>
                <w:sz w:val="16"/>
                <w:szCs w:val="16"/>
              </w:rPr>
              <w:t xml:space="preserve">   ·   Printed in the U.S.A.   ·   First Edition</w:t>
            </w:r>
          </w:p>
        </w:tc>
        <w:tc>
          <w:tcPr>
            <w:tcW w:type="dxa" w:w="3400"/>
            <w:tcBorders>
              <w:top w:val="none"/>
              <w:left w:val="none"/>
              <w:bottom w:val="none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bottom"/>
          </w:tcPr>
          <w:tbl>
            <w:tblPr>
              <w:tblW w:type="dxa" w:w="3200"/>
              <w:jc w:val="right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3200"/>
            </w:tblGrid>
            <w:tr>
              <w:trPr>
                <w:trHeight w:val="1500" w:hRule="atLeast"/>
              </w:trPr>
              <w:tc>
                <w:tcPr>
                  <w:tcW w:type="dxa" w:w="3200"/>
                  <w:tcBorders>
                    <w:top w:val="single" w:color="1A1A1A" w:sz="6" w:space="0"/>
                    <w:left w:val="single" w:color="1A1A1A" w:sz="6" w:space="0"/>
                    <w:bottom w:val="single" w:color="1A1A1A" w:sz="6" w:space="0"/>
                    <w:right w:val="single" w:color="1A1A1A" w:sz="6" w:space="0"/>
                  </w:tcBorders>
                  <w:vAlign w:val="center"/>
                </w:tcPr>
                <w:p>
                  <w:pPr>
                    <w:spacing w:after="10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i w:val="false"/>
                      <w:iCs w:val="false"/>
                      <w:caps w:val="false"/>
                      <w:color w:val="6B7280"/>
                      <w:sz w:val="18"/>
                      <w:szCs w:val="18"/>
                    </w:rPr>
                    <w:t xml:space="preserve">ISBN barcode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aps w:val="false"/>
                      <w:color w:val="6B7280"/>
                      <w:sz w:val="16"/>
                      <w:szCs w:val="16"/>
                    </w:rPr>
                    <w:t xml:space="preserve">ISBN 978-X-XXXXX-XXX-X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i/>
                      <w:iCs/>
                      <w:caps w:val="false"/>
                      <w:color w:val="6B7280"/>
                      <w:sz w:val="14"/>
                      <w:szCs w:val="14"/>
                    </w:rPr>
                    <w:t xml:space="preserve">placeholder — replace at print</w:t>
                  </w:r>
                </w:p>
              </w:tc>
            </w:tr>
          </w:tbl>
          <w:p/>
        </w:tc>
      </w:tr>
    </w:tbl>
    <w:p>
      <w:pPr>
        <w:sectPr>
          <w:pgSz w:w="12240" w:h="15840" w:orient="portrait"/>
          <w:pgMar w:top="560" w:right="560" w:bottom="560" w:left="560" w:header="708" w:footer="708" w:gutter="0"/>
          <w:pgNumType/>
          <w:docGrid w:linePitch="360"/>
        </w:sectPr>
      </w:pPr>
    </w:p>
    <w:p>
      <w:pPr>
        <w:spacing w:after="40" w:before="10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aps/>
          <w:color w:val="1B2A4A"/>
          <w:sz w:val="30"/>
          <w:szCs w:val="30"/>
        </w:rPr>
        <w:t xml:space="preserve">PRINT &amp; ONLINE-LISTING SPEC</w:t>
      </w:r>
    </w:p>
    <w:tbl>
      <w:tblPr>
        <w:tblW w:type="dxa" w:w="11120"/>
        <w:jc w:val="left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120"/>
      </w:tblGrid>
      <w:tr>
        <w:trPr>
          <w:trHeight w:val="20"/>
        </w:trPr>
        <w:tc>
          <w:tcPr>
            <w:tcW w:type="dxa" w:w="11120"/>
            <w:tcBorders>
              <w:top w:val="none"/>
              <w:left w:val="none"/>
              <w:bottom w:val="none"/>
              <w:right w:val="none"/>
            </w:tcBorders>
            <w:shd w:fill="C89B3C" w:color="auto" w:val="clea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</w:tc>
      </w:tr>
    </w:tbl>
    <w:p>
      <w:pPr>
        <w:spacing w:after="120" w:before="100"/>
        <w:jc w:val="left"/>
      </w:pPr>
      <w:r>
        <w:rPr>
          <w:rFonts w:ascii="Calibri" w:cs="Calibri" w:eastAsia="Calibri" w:hAnsi="Calibri"/>
          <w:b w:val="false"/>
          <w:bCs w:val="false"/>
          <w:i/>
          <w:iCs/>
          <w:caps w:val="false"/>
          <w:color w:val="6B7280"/>
          <w:sz w:val="19"/>
          <w:szCs w:val="19"/>
        </w:rPr>
        <w:t xml:space="preserve">An internal handoff sheet for your printer and your storefront listing — not part of the printed book.</w:t>
      </w:r>
    </w:p>
    <w:tbl>
      <w:tblPr>
        <w:tblW w:type="dxa" w:w="11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8520"/>
      </w:tblGrid>
      <w:tr>
        <w:tc>
          <w:tcPr>
            <w:tcW w:type="dxa" w:w="2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B2A4A"/>
                <w:sz w:val="19"/>
                <w:szCs w:val="19"/>
              </w:rPr>
              <w:t xml:space="preserve">Title (listing)</w:t>
            </w:r>
          </w:p>
        </w:tc>
        <w:tc>
          <w:tcPr>
            <w:tcW w:type="dxa" w:w="852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9"/>
                <w:szCs w:val="19"/>
              </w:rPr>
              <w:t xml:space="preserve">U.S. History Hack™ — Unit 2 · Teacher Graphic Organizer Toolkit</w:t>
            </w:r>
          </w:p>
        </w:tc>
      </w:tr>
    </w:tbl>
    <w:tbl>
      <w:tblPr>
        <w:tblW w:type="dxa" w:w="11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8520"/>
      </w:tblGrid>
      <w:tr>
        <w:tc>
          <w:tcPr>
            <w:tcW w:type="dxa" w:w="2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B2A4A"/>
                <w:sz w:val="19"/>
                <w:szCs w:val="19"/>
              </w:rPr>
              <w:t xml:space="preserve">Series</w:t>
            </w:r>
          </w:p>
        </w:tc>
        <w:tc>
          <w:tcPr>
            <w:tcW w:type="dxa" w:w="852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9"/>
                <w:szCs w:val="19"/>
              </w:rPr>
              <w:t xml:space="preserve">U.S. History Hack™ Course Standard (Platinum) Edition</w:t>
            </w:r>
          </w:p>
        </w:tc>
      </w:tr>
    </w:tbl>
    <w:tbl>
      <w:tblPr>
        <w:tblW w:type="dxa" w:w="11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8520"/>
      </w:tblGrid>
      <w:tr>
        <w:tc>
          <w:tcPr>
            <w:tcW w:type="dxa" w:w="2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B2A4A"/>
                <w:sz w:val="19"/>
                <w:szCs w:val="19"/>
              </w:rPr>
              <w:t xml:space="preserve">Publisher / Author</w:t>
            </w:r>
          </w:p>
        </w:tc>
        <w:tc>
          <w:tcPr>
            <w:tcW w:type="dxa" w:w="852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9"/>
                <w:szCs w:val="19"/>
              </w:rPr>
              <w:t xml:space="preserve">TroopToTeacher Technologies LLC</w:t>
            </w:r>
          </w:p>
        </w:tc>
      </w:tr>
    </w:tbl>
    <w:tbl>
      <w:tblPr>
        <w:tblW w:type="dxa" w:w="11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8520"/>
      </w:tblGrid>
      <w:tr>
        <w:tc>
          <w:tcPr>
            <w:tcW w:type="dxa" w:w="2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B2A4A"/>
                <w:sz w:val="19"/>
                <w:szCs w:val="19"/>
              </w:rPr>
              <w:t xml:space="preserve">Trim size</w:t>
            </w:r>
          </w:p>
        </w:tc>
        <w:tc>
          <w:tcPr>
            <w:tcW w:type="dxa" w:w="852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9"/>
                <w:szCs w:val="19"/>
              </w:rPr>
              <w:t xml:space="preserve">8.5 × 11 in (US Letter)</w:t>
            </w:r>
          </w:p>
        </w:tc>
      </w:tr>
    </w:tbl>
    <w:tbl>
      <w:tblPr>
        <w:tblW w:type="dxa" w:w="11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8520"/>
      </w:tblGrid>
      <w:tr>
        <w:tc>
          <w:tcPr>
            <w:tcW w:type="dxa" w:w="2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B2A4A"/>
                <w:sz w:val="19"/>
                <w:szCs w:val="19"/>
              </w:rPr>
              <w:t xml:space="preserve">Interior</w:t>
            </w:r>
          </w:p>
        </w:tc>
        <w:tc>
          <w:tcPr>
            <w:tcW w:type="dxa" w:w="852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9"/>
                <w:szCs w:val="19"/>
              </w:rPr>
              <w:t xml:space="preserve">43 pages, black-and-white, 60-lb (90 gsm) white offset</w:t>
            </w:r>
          </w:p>
        </w:tc>
      </w:tr>
    </w:tbl>
    <w:tbl>
      <w:tblPr>
        <w:tblW w:type="dxa" w:w="11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8520"/>
      </w:tblGrid>
      <w:tr>
        <w:tc>
          <w:tcPr>
            <w:tcW w:type="dxa" w:w="2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B2A4A"/>
                <w:sz w:val="19"/>
                <w:szCs w:val="19"/>
              </w:rPr>
              <w:t xml:space="preserve">Binding &amp; spine</w:t>
            </w:r>
          </w:p>
        </w:tc>
        <w:tc>
          <w:tcPr>
            <w:tcW w:type="dxa" w:w="852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9"/>
                <w:szCs w:val="19"/>
              </w:rPr>
              <w:t xml:space="preserve">Saddle-stitch (no printed spine) at 43 pp; spine ≈ 0.097 in only. Perfect-bind at ≥ ~48 pp for a printable spine.</w:t>
            </w:r>
          </w:p>
        </w:tc>
      </w:tr>
    </w:tbl>
    <w:tbl>
      <w:tblPr>
        <w:tblW w:type="dxa" w:w="11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8520"/>
      </w:tblGrid>
      <w:tr>
        <w:tc>
          <w:tcPr>
            <w:tcW w:type="dxa" w:w="2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B2A4A"/>
                <w:sz w:val="19"/>
                <w:szCs w:val="19"/>
              </w:rPr>
              <w:t xml:space="preserve">Cover stock</w:t>
            </w:r>
          </w:p>
        </w:tc>
        <w:tc>
          <w:tcPr>
            <w:tcW w:type="dxa" w:w="852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9"/>
                <w:szCs w:val="19"/>
              </w:rPr>
              <w:t xml:space="preserve">10-pt or 12-pt C1S gloss/matte laminate; full color</w:t>
            </w:r>
          </w:p>
        </w:tc>
      </w:tr>
    </w:tbl>
    <w:tbl>
      <w:tblPr>
        <w:tblW w:type="dxa" w:w="11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8520"/>
      </w:tblGrid>
      <w:tr>
        <w:tc>
          <w:tcPr>
            <w:tcW w:type="dxa" w:w="2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B2A4A"/>
                <w:sz w:val="19"/>
                <w:szCs w:val="19"/>
              </w:rPr>
              <w:t xml:space="preserve">Bleed</w:t>
            </w:r>
          </w:p>
        </w:tc>
        <w:tc>
          <w:tcPr>
            <w:tcW w:type="dxa" w:w="852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9"/>
                <w:szCs w:val="19"/>
              </w:rPr>
              <w:t xml:space="preserve">Add 0.125 in bleed on all outside edges before print (this concept is at trim).</w:t>
            </w:r>
          </w:p>
        </w:tc>
      </w:tr>
    </w:tbl>
    <w:tbl>
      <w:tblPr>
        <w:tblW w:type="dxa" w:w="11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8520"/>
      </w:tblGrid>
      <w:tr>
        <w:tc>
          <w:tcPr>
            <w:tcW w:type="dxa" w:w="2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B2A4A"/>
                <w:sz w:val="19"/>
                <w:szCs w:val="19"/>
              </w:rPr>
              <w:t xml:space="preserve">Copyright</w:t>
            </w:r>
          </w:p>
        </w:tc>
        <w:tc>
          <w:tcPr>
            <w:tcW w:type="dxa" w:w="852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9"/>
                <w:szCs w:val="19"/>
              </w:rPr>
              <w:t xml:space="preserve">© 2026 TroopToTeacher Technologies LLC. All rights reserved.</w:t>
            </w:r>
          </w:p>
        </w:tc>
      </w:tr>
    </w:tbl>
    <w:tbl>
      <w:tblPr>
        <w:tblW w:type="dxa" w:w="11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8520"/>
      </w:tblGrid>
      <w:tr>
        <w:tc>
          <w:tcPr>
            <w:tcW w:type="dxa" w:w="2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B2A4A"/>
                <w:sz w:val="19"/>
                <w:szCs w:val="19"/>
              </w:rPr>
              <w:t xml:space="preserve">ISBN</w:t>
            </w:r>
          </w:p>
        </w:tc>
        <w:tc>
          <w:tcPr>
            <w:tcW w:type="dxa" w:w="852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9"/>
                <w:szCs w:val="19"/>
              </w:rPr>
              <w:t xml:space="preserve">Assign one ISBN per format (paperback / PDF); place barcode in the back-cover box.</w:t>
            </w:r>
          </w:p>
        </w:tc>
      </w:tr>
    </w:tbl>
    <w:tbl>
      <w:tblPr>
        <w:tblW w:type="dxa" w:w="11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8520"/>
      </w:tblGrid>
      <w:tr>
        <w:tc>
          <w:tcPr>
            <w:tcW w:type="dxa" w:w="2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B2A4A"/>
                <w:sz w:val="19"/>
                <w:szCs w:val="19"/>
              </w:rPr>
              <w:t xml:space="preserve">Age / grade</w:t>
            </w:r>
          </w:p>
        </w:tc>
        <w:tc>
          <w:tcPr>
            <w:tcW w:type="dxa" w:w="852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9"/>
                <w:szCs w:val="19"/>
              </w:rPr>
              <w:t xml:space="preserve">Grades 9–12 · U.S. History</w:t>
            </w:r>
          </w:p>
        </w:tc>
      </w:tr>
    </w:tbl>
    <w:tbl>
      <w:tblPr>
        <w:tblW w:type="dxa" w:w="11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8520"/>
      </w:tblGrid>
      <w:tr>
        <w:tc>
          <w:tcPr>
            <w:tcW w:type="dxa" w:w="2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B2A4A"/>
                <w:sz w:val="19"/>
                <w:szCs w:val="19"/>
              </w:rPr>
              <w:t xml:space="preserve">Categories</w:t>
            </w:r>
          </w:p>
        </w:tc>
        <w:tc>
          <w:tcPr>
            <w:tcW w:type="dxa" w:w="852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9"/>
                <w:szCs w:val="19"/>
              </w:rPr>
              <w:t xml:space="preserve">Education › Teaching Methods &amp; Materials › Social Science; Study Aids › History</w:t>
            </w:r>
          </w:p>
        </w:tc>
      </w:tr>
    </w:tbl>
    <w:tbl>
      <w:tblPr>
        <w:tblW w:type="dxa" w:w="11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8520"/>
      </w:tblGrid>
      <w:tr>
        <w:tc>
          <w:tcPr>
            <w:tcW w:type="dxa" w:w="2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B2A4A"/>
                <w:sz w:val="19"/>
                <w:szCs w:val="19"/>
              </w:rPr>
              <w:t xml:space="preserve">Keywords</w:t>
            </w:r>
          </w:p>
        </w:tc>
        <w:tc>
          <w:tcPr>
            <w:tcW w:type="dxa" w:w="852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9"/>
                <w:szCs w:val="19"/>
              </w:rPr>
              <w:t xml:space="preserve">graphic organizers, Frayer, CER, HIPPO, Cornell notes, cause and effect, timeline, UDL, reproducible, social studies</w:t>
            </w:r>
          </w:p>
        </w:tc>
      </w:tr>
    </w:tbl>
    <w:p>
      <w:pPr>
        <w:spacing w:after="70" w:before="18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aps/>
          <w:color w:val="1B2A4A"/>
          <w:sz w:val="21"/>
          <w:szCs w:val="21"/>
        </w:rPr>
        <w:t xml:space="preserve">BACK-COVER BLURB (for your storefront)</w:t>
      </w:r>
    </w:p>
    <w:p>
      <w:pPr>
        <w:spacing w:after="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19"/>
          <w:szCs w:val="19"/>
        </w:rPr>
        <w:t xml:space="preserve">The Graphic Organizer Toolkit collects the reproducible thinking tools the course runs on — Frayer, CER, HIPPO, Cornell, cause–effect, timeline, T-chart, Venn, and more — each in a blank and a labeled version, with a quick-use guide. Built on UDL so students can write, diagram, or map their thinking. Print as needed for your classroom.</w:t>
      </w:r>
    </w:p>
    <w:sectPr>
      <w:pgSz w:w="12240" w:h="15840" w:orient="portrait"/>
      <w:pgMar w:top="1000" w:right="1200" w:bottom="10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1A1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4c6ed76e1ca735dc142167eee396a672f40de994.undefined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2026-07-27T04:26:41.793Z</dcterms:created>
  <dcterms:modified xsi:type="dcterms:W3CDTF">2026-07-27T04:26:41.793Z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