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i w:val="false"/>
          <w:iCs w:val="false"/>
          <w:caps w:val="false"/>
          <w:color w:val="C89B3C"/>
          <w:sz w:val="30"/>
          <w:szCs w:val="30"/>
        </w:rPr>
        <w:t xml:space="preserve">U.S. HISTORY HACK™</w:t>
      </w:r>
    </w:p>
    <w:p>
      <w:pPr>
        <w:spacing w:after="0"/>
      </w:pPr>
      <w:r>
        <w:rPr>
          <w:rFonts w:ascii="Calibri" w:cs="Calibri" w:eastAsia="Calibri" w:hAnsi="Calibri"/>
          <w:b/>
          <w:bCs/>
          <w:i w:val="false"/>
          <w:iCs w:val="false"/>
          <w:caps w:val="false"/>
          <w:color w:val="1B2A4A"/>
          <w:sz w:val="52"/>
          <w:szCs w:val="52"/>
        </w:rPr>
        <w:t xml:space="preserve">Teacher Graphic Organizer Toolkit</w:t>
      </w:r>
    </w:p>
    <w:p>
      <w:pPr>
        <w:spacing w:after="200"/>
      </w:pPr>
      <w:r>
        <w:rPr>
          <w:rFonts w:ascii="Calibri" w:cs="Calibri" w:eastAsia="Calibri" w:hAnsi="Calibri"/>
          <w:b w:val="false"/>
          <w:bCs w:val="false"/>
          <w:i w:val="false"/>
          <w:iCs w:val="false"/>
          <w:caps w:val="false"/>
          <w:color w:val="1A1A1A"/>
          <w:sz w:val="26"/>
          <w:szCs w:val="26"/>
        </w:rPr>
        <w:t xml:space="preserve">Unit 8 — Postwar America (1945–1963)  ·  Reproducible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WHY THIS TOOLKIT</w:t>
            </w:r>
          </w:p>
          <w:p>
            <w:pPr>
              <w:spacing w:after="40"/>
            </w:pPr>
            <w:r>
              <w:rPr>
                <w:rFonts w:ascii="Calibri" w:cs="Calibri" w:eastAsia="Calibri" w:hAnsi="Calibri"/>
                <w:b w:val="false"/>
                <w:bCs w:val="false"/>
                <w:i w:val="false"/>
                <w:iCs w:val="false"/>
                <w:caps w:val="false"/>
                <w:color w:val="1A1A1A"/>
                <w:sz w:val="22"/>
                <w:szCs w:val="22"/>
              </w:rPr>
              <w:t xml:space="preserve">Knowing WHICH organizer to use, and WHEN, is half the battle. This toolkit tells you — with a brief why for each — then gives you reproducible blanks (Part 1) and per-standard Cornell support backs (Part 2). Tennessee connections are highlighted throughout; the local-to-national move is a HistoryHack signature and a point of difference for our classrooms.</w:t>
            </w:r>
          </w:p>
        </w:tc>
      </w:tr>
    </w:tbl>
    <w:p>
      <w:r>
        <w:br w:type="page"/>
      </w:r>
    </w:p>
    <w:p>
      <w:pPr>
        <w:pStyle w:val="Heading1"/>
        <w:keepNext/>
        <w:spacing w:after="90" w:before="200"/>
      </w:pPr>
      <w:r>
        <w:rPr>
          <w:rFonts w:ascii="Calibri" w:cs="Calibri" w:eastAsia="Calibri" w:hAnsi="Calibri"/>
          <w:b/>
          <w:bCs/>
          <w:i w:val="false"/>
          <w:iCs w:val="false"/>
          <w:caps w:val="false"/>
          <w:color w:val="1B2A4A"/>
          <w:sz w:val="36"/>
          <w:szCs w:val="36"/>
        </w:rPr>
        <w:t xml:space="preserve">Which Organizer, When — Quick Guide</w:t>
      </w:r>
    </w:p>
    <w:p>
      <w:pPr>
        <w:spacing w:after="100"/>
      </w:pPr>
      <w:r>
        <w:rPr>
          <w:rFonts w:ascii="Calibri" w:cs="Calibri" w:eastAsia="Calibri" w:hAnsi="Calibri"/>
          <w:b w:val="false"/>
          <w:bCs w:val="false"/>
          <w:i w:val="false"/>
          <w:iCs w:val="false"/>
          <w:caps w:val="false"/>
          <w:color w:val="1A1A1A"/>
          <w:sz w:val="22"/>
          <w:szCs w:val="22"/>
        </w:rPr>
        <w:t xml:space="preserve">Scan the left column for what the activity asks students to do; reach for the organizer on the right. Every organizer in Part 1 also carries its own “when to use · why it works” note.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648"/>
      </w:tblGrid>
      <w:tr>
        <w:trPr>
          <w:tblHeader/>
        </w:trPr>
        <w:tc>
          <w:tcPr>
            <w:tcW w:type="dxa" w:w="3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When the task asks students to…</w:t>
            </w:r>
          </w:p>
        </w:tc>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Reach for…</w:t>
            </w:r>
          </w:p>
        </w:tc>
        <w:tc>
          <w:tcPr>
            <w:tcW w:type="dxa" w:w="3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it works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 contrast TWO things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Venn (2) or T-Chart</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Marzano’s highest-yield strategy; the overlap names shared traits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3+ things on set criteria</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&amp; Contrast Matrix</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systematic; lowers cognitive load</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 causes / effects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Cause &amp; Effect</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makes causal chains visible (SSP.05)</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put events in order / show change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Timeline / Sequence</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builds chronological reasoning (SSP.05)</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brainstorm or connect ideas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Concept Web</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activates prior knowledge; shows relationships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summarize a text or source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Main Idea &amp; Details</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separates the central idea from support</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activate prior knowledge &amp; track learning</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KWL</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metacognition; frames inquiry</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learn a key term deeply</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Frayer</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deep vocabulary processing</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analyze a primary source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HIPPO / OPTIC</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disciplinary sourcing (SSP.01–02)</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make and defend a claim</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CER</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claim + evidence + reasoning (SSP.04)</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weigh two sides / a decision</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T-Chart or Problem–Solution</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structures evaluation</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capture the basics of an event</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5 Ws</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ensures full coverage</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connect a national event to Tennessee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 Tennessee Connection</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our signature local-to-national move</w:t>
            </w:r>
          </w:p>
        </w:tc>
      </w:tr>
    </w:tbl>
    <w:p>
      <w:pPr>
        <w:spacing w:before="120"/>
      </w:pPr>
      <w:r>
        <w:rPr>
          <w:rFonts w:ascii="Calibri" w:cs="Calibri" w:eastAsia="Calibri" w:hAnsi="Calibri"/>
          <w:b w:val="false"/>
          <w:bCs w:val="false"/>
          <w:i/>
          <w:iCs/>
          <w:caps w:val="false"/>
          <w:color w:val="6B7280"/>
          <w:sz w:val="18"/>
          <w:szCs w:val="18"/>
        </w:rPr>
        <w:t xml:space="preserve">Reproducible — you may copy these pages for classroom use.</w:t>
      </w:r>
    </w:p>
    <w:p>
      <w:pPr>
        <w:pStyle w:val="Heading1"/>
        <w:keepNext/>
        <w:pageBreakBefore/>
        <w:spacing w:after="90" w:before="200"/>
      </w:pPr>
      <w:r>
        <w:rPr>
          <w:rFonts w:ascii="Calibri" w:cs="Calibri" w:eastAsia="Calibri" w:hAnsi="Calibri"/>
          <w:b/>
          <w:bCs/>
          <w:i w:val="false"/>
          <w:iCs w:val="false"/>
          <w:caps w:val="false"/>
          <w:color w:val="1B2A4A"/>
          <w:sz w:val="36"/>
          <w:szCs w:val="36"/>
        </w:rPr>
        <w:t xml:space="preserve">Part 1 — Reusable Blank Organizers (all subjects, all units)</w:t>
      </w:r>
    </w:p>
    <w:p>
      <w:pPr>
        <w:spacing w:after="100"/>
      </w:pPr>
      <w:r>
        <w:rPr>
          <w:rFonts w:ascii="Calibri" w:cs="Calibri" w:eastAsia="Calibri" w:hAnsi="Calibri"/>
          <w:b w:val="false"/>
          <w:bCs w:val="false"/>
          <w:i w:val="false"/>
          <w:iCs w:val="false"/>
          <w:caps w:val="false"/>
          <w:color w:val="1A1A1A"/>
          <w:sz w:val="22"/>
          <w:szCs w:val="22"/>
        </w:rPr>
        <w:t xml:space="preserve">Content-agnostic blanks. Print as many as you need; use across any standard or subject.</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Venn Diagram (2) — Compare &amp; Contrast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Task says “compare,” “contrast,” “how are they alike/different?” for TWO things. Marzano’s #1 strategy (identifying similarities &amp; differences). The shared column forces students to name what overlaps, not just list traits.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Only ______ (A)</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Both / shared</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Only ______ (B)</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Venn (3) / Triple T-Chart — Compare THREE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Comparing three people, groups, or ideas. Use the columns for each item and note shared traits in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624"/>
        <w:gridCol w:w="3624"/>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A</w:t>
            </w:r>
          </w:p>
        </w:tc>
        <w:tc>
          <w:tcPr>
            <w:tcW w:type="dxa" w:w="36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B</w:t>
            </w:r>
          </w:p>
        </w:tc>
        <w:tc>
          <w:tcPr>
            <w:tcW w:type="dxa" w:w="36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C</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1</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2</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3</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4</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T-Chart — Two Sides / Pros &amp; Cons / Before–After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Two categories to sort or weigh: benefits vs costs, pros vs cons, before vs after, cause vs effect. Fast, low-floor entry point for comparison.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______</w:t>
            </w:r>
          </w:p>
        </w:tc>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______</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Compare &amp; Contrast Matrix — Items × Criteria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Comparing several items across the SAME set of criteria. Reduces cognitive load by making the comparison systematic.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16"/>
        <w:gridCol w:w="2416"/>
        <w:gridCol w:w="2416"/>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Criterion</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1</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2</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3</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Cause &amp; Effect — Causal Chains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Task asks “what caused…?”, “what were the effects/consequences of…?” Makes causal reasoning visible (builds SSP.05).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648"/>
        <w:gridCol w:w="5000"/>
      </w:tblGrid>
      <w:tr>
        <w:trPr>
          <w:tblHeader/>
        </w:trPr>
        <w:tc>
          <w:tcPr>
            <w:tcW w:type="dxa" w:w="4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Cause</w:t>
            </w:r>
          </w:p>
        </w:tc>
        <w:tc>
          <w:tcPr>
            <w:tcW w:type="dxa" w:w="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t>
            </w:r>
          </w:p>
        </w:tc>
        <w:tc>
          <w:tcPr>
            <w:tcW w:type="dxa" w:w="5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Effect</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Timeline / Sequence — Chronology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Ordering events or tracing change over time. Builds chronological reasoning (SSP.05).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48"/>
      </w:tblGrid>
      <w:tr>
        <w:trPr>
          <w:tblHeader/>
        </w:trPr>
        <w:tc>
          <w:tcPr>
            <w:tcW w:type="dxa" w:w="2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Date / order</w:t>
            </w:r>
          </w:p>
        </w:tc>
        <w:tc>
          <w:tcPr>
            <w:tcW w:type="dxa" w:w="4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Event</w:t>
            </w:r>
          </w:p>
        </w:tc>
        <w:tc>
          <w:tcPr>
            <w:tcW w:type="dxa" w:w="3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it mattered</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Concept Web — Connect &amp; Brainstorm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Activating prior knowledge or showing how ideas relate to a central concept. Great as a pre-reading or review move.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3324"/>
        <w:gridCol w:w="3324"/>
      </w:tblGrid>
      <w:tr>
        <w:trPr>
          <w:tblHeader/>
        </w:trPr>
        <w:tc>
          <w:tcPr>
            <w:tcW w:type="dxa" w:w="3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Central idea</w:t>
            </w:r>
          </w:p>
        </w:tc>
        <w:tc>
          <w:tcPr>
            <w:tcW w:type="dxa" w:w="33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Connected idea</w:t>
            </w:r>
          </w:p>
        </w:tc>
        <w:tc>
          <w:tcPr>
            <w:tcW w:type="dxa" w:w="33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How it connects</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Main Idea &amp; Details — Summarize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Pulling the central idea and its support from a text or source. Separates the big idea from the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blHeader/>
        </w:trPr>
        <w:tc>
          <w:tcPr>
            <w:tcW w:type="dxa" w:w="9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MAIN IDEA</w:t>
            </w:r>
          </w:p>
        </w:tc>
      </w:tr>
      <w:tr>
        <w:tc>
          <w:tcPr>
            <w:tcW w:type="dxa" w:w="9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KWL — Activate &amp; Track Learning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Start of a standard: what students Know / Want to know; end: what they Learned. Builds metacognition and frames inquiry.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K — what I Know</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 — what I Want to know</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L — what I Learned</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5 Ws — Cover the Basics of an Event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Making sure students capture who/what/when/where/why of an event before analysis.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Question</w:t>
            </w:r>
          </w:p>
        </w:tc>
        <w:tc>
          <w:tcPr>
            <w:tcW w:type="dxa" w:w="72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Answer</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Who?</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What?</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When?</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Where?</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Why?</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Problem &amp; Solution — Evaluate Responses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Analyzing a problem and the responses to it (e.g., a policy or reform). Structures evaluation.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Problem</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Proposed solution</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Result / evaluation</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Frayer Model — Deep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Learning a key term deeply (definition, characteristics, examples, non-examples).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Definition (own words)</w:t>
            </w:r>
          </w:p>
        </w:tc>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Characteristics</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Non-examples</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CER — Build an Argument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Any “make a claim / defend / argue” task. Claim + two pieces of evidence + reasoning (builds SSP.04).</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Part</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Write here</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HIPPO — Analyze a Primary Source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Analyzing a photo, cartoon, map, or document (builds SSP.01–SSP.02). Pair with OPTIC for visuals.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H-I-P-P-O</w:t>
            </w:r>
          </w:p>
        </w:tc>
        <w:tc>
          <w:tcPr>
            <w:tcW w:type="dxa" w:w="6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Prompt / notes</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 — Historical context</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I — Intended audience</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 — Purpose</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 — Point of view</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O — Outside connection</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 Tennessee Connection — Local ↔ National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Whenever a standard has a Tennessee tie: link the national event to our state/community and say why the local story matters. This local-to-national move is a HistoryHack signature — use it often.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The national event / idea</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Our Tennessee (or local) connection</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the local story matters</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1"/>
        <w:keepNext/>
        <w:pageBreakBefore/>
        <w:spacing w:after="90" w:before="200"/>
      </w:pPr>
      <w:r>
        <w:rPr>
          <w:rFonts w:ascii="Calibri" w:cs="Calibri" w:eastAsia="Calibri" w:hAnsi="Calibri"/>
          <w:b/>
          <w:bCs/>
          <w:i w:val="false"/>
          <w:iCs w:val="false"/>
          <w:caps w:val="false"/>
          <w:color w:val="1B2A4A"/>
          <w:sz w:val="36"/>
          <w:szCs w:val="36"/>
        </w:rPr>
        <w:t xml:space="preserve">Part 2 — Cornell Support Backs (per standard, reproducible)</w:t>
      </w:r>
    </w:p>
    <w:p>
      <w:pPr>
        <w:spacing w:after="100"/>
      </w:pPr>
      <w:r>
        <w:rPr>
          <w:rFonts w:ascii="Calibri" w:cs="Calibri" w:eastAsia="Calibri" w:hAnsi="Calibri"/>
          <w:b w:val="false"/>
          <w:bCs w:val="false"/>
          <w:i w:val="false"/>
          <w:iCs w:val="false"/>
          <w:caps w:val="false"/>
          <w:color w:val="1A1A1A"/>
          <w:sz w:val="22"/>
          <w:szCs w:val="22"/>
        </w:rPr>
        <w:t xml:space="preserve">Guided and Light scaffolds for each standard’s Cornell notes — moved here from the student workbook so you copy them only as needed (MTSS). Fade Guided → Light → independent as evidence grows.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US.71 — 1950s Prosperity &amp; Consumerism: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White-Collar Jobs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Professional, managerial, and clerical jobs that grew dramatically in the 1950s as the U.S. economy shifted from manufacturing to service industries. Workers in these jobs typically wore white dress shirts to offices rather than blue work shirts to factories.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Suburban Ideal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1950s American dream of owning a single-family home in the suburbs with a yard, garage, and modern appliances. Suburbs like Levittown offered affordable housing for middle-class families leaving cities.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G.I. Bill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Servicemen's Readjustment Act of 1944 that provided veterans with benefits including college tuition, low-cost mortgages, and unemployment insurance. It helped millions of WWII veterans buy homes and get education, fueling 1950s prosperity.</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1950s prosperity &amp; consumerism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1950s prosperity &amp; consumerism was White-Collar Jobs: Professional, managerial, and clerical jobs that grew dramatically in the 1950s as the U.S. economy shifted from manufacturing to service industries. Workers in these jobs typically wore white dress shirts to offices rather than blue work shirts to factories.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White-Collar Jobs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Suburban Ideal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G.I. Bill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“Post-War Economic Boom”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“Growth of White-Collar Jobs”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Suburban Ideal”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US.72 — Baby Boomer Generation Impact: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Baby Boom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dramatic increase in birth rates from 1946-1964, when 76 million babies were born. This generation transformed American economy and culture as they grew up, creating demand for schools, products, and services.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G.I. Bill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Servicemen's Readjustment Act of 1944 that provided veterans with benefits including college tuition, low-cost mortgages, and unemployment insurance. It helped millions of WWII veterans buy homes and get education, fueling 1950s prosperity.</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Causes of the Baby Boom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WWII veterans returning home; economic prosperity; G.I. Bill benefits; cultural emphasis on family; improved medical care</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baby boomer generation impact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baby boomer generation impact was Baby Boom: The dramatic increase in birth rates from 1946-1964, when 76 million babies were born. This generation transformed American economy and culture as they grew up, creating demand for schools, products, and services.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Baby Boom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G.I. Bill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Causes of the Baby Boom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“What Was the Baby Boom?”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“Reshaping the American Economy”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“New Markets and Industries”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US.73 — Eisenhower Administration Developments: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Interstate Highway System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Massive network of highways authorized by President Eisenhower in 1956, covering 41,000 miles. Built for national defense and economic development, it transformed American travel, commerce, and settlement patterns.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Polio Vaccine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Dr. Jonas Salk's 1955 vaccine that virtually eliminated polio, a crippling disease that had terrorized American families. Mass vaccination campaigns made it one of the great medical triumphs of the 1950s.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Salk Polio Vaccine (1955)</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Eliminated feared disease; 45,000+ cases/year before vaccine; restored confidence in medical science; children could safely attend schools</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eisenhower administration developments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eisenhower administration developments was Interstate Highway System: Massive network of highways authorized by President Eisenhower in 1956, covering 41,000 miles. Built for national defense and economic development, it transformed American travel, commerce, and settlement patterns.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Interstate Highway System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Polio Vaccine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Salk Polio Vaccine (1955)</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“Medical Breakthroughs: The Polio Vaccine”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“Interstate Highway System: Economic Effects”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“Interstate Highway System: Social Effects”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US.74 — Automobile's Growing Influence: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Fast Food Chains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Standardized restaurants offering quick, inexpensive meals that spread along highways in the 1950s. McDonald's, opened by Ray Kroc in 1955, became the symbol of this new industry.</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Levittown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Pioneering planned suburban community built by William Levitt starting in 1947. Mass-produced affordable homes made homeownership accessible to middle-class families, becoming the model for suburban development.</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Car Ownership Explosion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25M registered cars; 1960: 61M cars; average family owned car by 1960; symbol of freedom and prosperity</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automobile's growing influence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automobile's growing influence was Fast Food Chains: Standardized restaurants offering quick, inexpensive meals that spread along highways in the 1950s. McDonald's, opened by Ray Kroc in 1955, became the symbol of this new industry.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Fast Food Chains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Levittown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Car Ownership Explosion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“Transforming American Daily Life”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“Connection to Suburban Growth”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“Fast Food and Hospitality Industries”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US.75 — Television and Mass Media Impact: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Television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dominant mass medium of the 1950s that transformed American home life, politics, and culture. TV ownership grew from 9% of homes in 1950 to 87% by 1960.</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Mass Media</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Forms of communication reaching large audiences, including television, radio, newspapers, and magazines. In the 1950s, mass media gained unprecedented influence over American opinions, politics, and purchasing habits.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Rapid TV Adoption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1950: 9% of homes had TV; 1960: 87% had TV; average viewing 5+ hours/day; replaced radio as center of home entertainment</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television and mass media impact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television and mass media impact was Television: The dominant mass medium of the 1950s that transformed American home life, politics, and culture. TV ownership grew from 9% of homes in 1950 to 87% by 1960.</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Television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Mass Media</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Rapid TV Adoption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“Television Changes Family Life”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“Television and Politics”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“Advertising and Consumer Culture”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US.76 — Youth Culture and Tennessee Music: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Beatniks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Members of the 1950s Beat Generation who rejected mainstream culture, materialism, and conformity. Writers like Jack Kerouac and Allen Ginsberg challenged conventional values.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Rock 'n' Roll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Revolutionary music genre emerging in the 1950s that combined rhythm and blues, country, and gospel. Elvis Presley became the "King of Rock 'n' Roll," representing youth rebellion and cultural change.</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Elvis Presley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Tennessee singer who became "The King of Rock 'n' Roll" in the 1950s. His music, style, and performances revolutionized American popular culture and launched rock music as a global phenomenon.</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youth culture and tennessee music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youth culture and tennessee music was Beatniks: Members of the 1950s Beat Generation who rejected mainstream culture, materialism, and conformity. Writers like Jack Kerouac and Allen Ginsberg challenged conventional values.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Beatniks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Rock 'n' Roll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Elvis Presley</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Beat Generation”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“Tennessee's Central Role in Music”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“Breaking Racial Barriers Through Music”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US.77 — Kennedy's New Frontier: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New Frontier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President John F. Kennedy's 1960s domestic program promoting economic growth, education, civil rights, and space exploration. Represented optimism and progressive change.</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Peace Corps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Volunteer program created by President Kennedy in 1961 sending Americans to developing countries to help with education, health, and economic development while promoting goodwill.</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New Frontier Programs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Federal aid to education; civil rights enforcement; tax cuts for growth; increased minimum wage; Medicare proposal (passed later)</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kennedy's new frontier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kennedy's new frontier was New Frontier: President John F. Kennedy's 1960s domestic program promoting economic growth, education, civil rights, and space exploration. Represented optimism and progressive change.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New Frontier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Peace Corps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New Frontier Programs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“New Frontier Goals”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Peace Corps”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“The Space Race Priority”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b w:val="false"/>
        <w:bCs w:val="false"/>
        <w:i w:val="false"/>
        <w:iCs w:val="false"/>
        <w:caps w:val="false"/>
        <w:color w:val="6B7280"/>
        <w:sz w:val="16"/>
        <w:szCs w:val="16"/>
      </w:rPr>
      <w:t xml:space="preserve">U.S. History Hack™ · Unit 8 (Course Standard) © 2026 TroopToTeacher Technologies LLC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8 · Teacher Graphic Organizer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2026-07-27T07:16:33.200Z</dcterms:created>
  <dcterms:modified xsi:type="dcterms:W3CDTF">2026-07-27T07:16:33.200Z</dcterms:modified>
</cp:coreProperties>
</file>

<file path=docProps/custom.xml><?xml version="1.0" encoding="utf-8"?>
<Properties xmlns="http://schemas.openxmlformats.org/officeDocument/2006/custom-properties" xmlns:vt="http://schemas.openxmlformats.org/officeDocument/2006/docPropsVTypes"/>
</file>