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i w:val="false"/>
          <w:iCs w:val="false"/>
          <w:caps w:val="false"/>
          <w:color w:val="C89B3C"/>
          <w:sz w:val="30"/>
          <w:szCs w:val="30"/>
        </w:rPr>
        <w:t xml:space="preserve">U.S. HISTORY HACK™</w:t>
      </w:r>
    </w:p>
    <w:p>
      <w:pPr>
        <w:spacing w:after="0"/>
      </w:pPr>
      <w:r>
        <w:rPr>
          <w:rFonts w:ascii="Calibri" w:cs="Calibri" w:eastAsia="Calibri" w:hAnsi="Calibri"/>
          <w:b/>
          <w:bCs/>
          <w:i w:val="false"/>
          <w:iCs w:val="false"/>
          <w:caps w:val="false"/>
          <w:color w:val="1B2A4A"/>
          <w:sz w:val="52"/>
          <w:szCs w:val="52"/>
        </w:rPr>
        <w:t xml:space="preserve">Teacher Graphic Organizer Toolkit</w:t>
      </w:r>
    </w:p>
    <w:p>
      <w:pPr>
        <w:spacing w:after="200"/>
      </w:pPr>
      <w:r>
        <w:rPr>
          <w:rFonts w:ascii="Calibri" w:cs="Calibri" w:eastAsia="Calibri" w:hAnsi="Calibri"/>
          <w:b w:val="false"/>
          <w:bCs w:val="false"/>
          <w:i w:val="false"/>
          <w:iCs w:val="false"/>
          <w:caps w:val="false"/>
          <w:color w:val="1A1A1A"/>
          <w:sz w:val="26"/>
          <w:szCs w:val="26"/>
        </w:rPr>
        <w:t xml:space="preserve">Unit 9 — The Civil Rights Movement (1954–1975)  ·  Reproducible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WHY THIS TOOLKIT</w:t>
            </w:r>
          </w:p>
          <w:p>
            <w:pPr>
              <w:spacing w:after="40"/>
            </w:pPr>
            <w:r>
              <w:rPr>
                <w:rFonts w:ascii="Calibri" w:cs="Calibri" w:eastAsia="Calibri" w:hAnsi="Calibri"/>
                <w:b w:val="false"/>
                <w:bCs w:val="false"/>
                <w:i w:val="false"/>
                <w:iCs w:val="false"/>
                <w:caps w:val="false"/>
                <w:color w:val="1A1A1A"/>
                <w:sz w:val="22"/>
                <w:szCs w:val="22"/>
              </w:rPr>
              <w:t xml:space="preserve">Knowing WHICH organizer to use, and WHEN, is half the battle. This toolkit tells you — with a brief why for each — then gives you reproducible blanks (Part 1) and per-standard Cornell support backs (Part 2). Tennessee connections are highlighted throughout; the local-to-national move is a HistoryHack signature and a point of difference for our classrooms.</w:t>
            </w:r>
          </w:p>
        </w:tc>
      </w:tr>
    </w:tbl>
    <w:p>
      <w:r>
        <w:br w:type="page"/>
      </w:r>
    </w:p>
    <w:p>
      <w:pPr>
        <w:pStyle w:val="Heading1"/>
        <w:keepNext/>
        <w:spacing w:after="90" w:before="200"/>
      </w:pPr>
      <w:r>
        <w:rPr>
          <w:rFonts w:ascii="Calibri" w:cs="Calibri" w:eastAsia="Calibri" w:hAnsi="Calibri"/>
          <w:b/>
          <w:bCs/>
          <w:i w:val="false"/>
          <w:iCs w:val="false"/>
          <w:caps w:val="false"/>
          <w:color w:val="1B2A4A"/>
          <w:sz w:val="36"/>
          <w:szCs w:val="36"/>
        </w:rPr>
        <w:t xml:space="preserve">Which Organizer, When — Quick Guide</w:t>
      </w:r>
    </w:p>
    <w:p>
      <w:pPr>
        <w:spacing w:after="100"/>
      </w:pPr>
      <w:r>
        <w:rPr>
          <w:rFonts w:ascii="Calibri" w:cs="Calibri" w:eastAsia="Calibri" w:hAnsi="Calibri"/>
          <w:b w:val="false"/>
          <w:bCs w:val="false"/>
          <w:i w:val="false"/>
          <w:iCs w:val="false"/>
          <w:caps w:val="false"/>
          <w:color w:val="1A1A1A"/>
          <w:sz w:val="22"/>
          <w:szCs w:val="22"/>
        </w:rPr>
        <w:t xml:space="preserve">Scan the left column for what the activity asks students to do; reach for the organizer on the right. Every organizer in Part 1 also carries its own “when to use · why it works” note.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400"/>
        <w:gridCol w:w="2600"/>
        <w:gridCol w:w="3648"/>
      </w:tblGrid>
      <w:tr>
        <w:trPr>
          <w:tblHeader/>
        </w:trPr>
        <w:tc>
          <w:tcPr>
            <w:tcW w:type="dxa" w:w="3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When the task asks students to…</w:t>
            </w:r>
          </w:p>
        </w:tc>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Reach for…</w:t>
            </w:r>
          </w:p>
        </w:tc>
        <w:tc>
          <w:tcPr>
            <w:tcW w:type="dxa" w:w="3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it works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 contrast TWO things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Venn (2) or T-Chart</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Marzano’s highest-yield strategy; the overlap names shared traits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3+ things on set criteria</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Compare &amp; Contrast Matrix</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systematic; lowers cognitive load</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 causes / effects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Cause &amp; Effect</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makes causal chains visible (SSP.05)</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put events in order / show change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Timeline / Sequence</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builds chronological reasoning (SSP.05)</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brainstorm or connect ideas</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Concept Web</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activates prior knowledge; shows relationships</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summarize a text or source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Main Idea &amp; Details</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separates the central idea from support</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activate prior knowledge &amp; track learning</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KWL</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metacognition; frames inquiry</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learn a key term deeply</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Frayer</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deep vocabulary processing</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analyze a primary source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HIPPO / OPTIC</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disciplinary sourcing (SSP.01–02)</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make and defend a claim</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CER</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claim + evidence + reasoning (SSP.04)</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weigh two sides / a decision</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T-Chart or Problem–Solution</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structures evaluation</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capture the basics of an event</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5 Ws</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ensures full coverage</w:t>
            </w:r>
          </w:p>
        </w:tc>
      </w:tr>
      <w:tr>
        <w:tc>
          <w:tcPr>
            <w:tcW w:type="dxa" w:w="3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connect a national event to Tennessee</w:t>
            </w:r>
          </w:p>
        </w:tc>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 Tennessee Connection</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our signature local-to-national move</w:t>
            </w:r>
          </w:p>
        </w:tc>
      </w:tr>
    </w:tbl>
    <w:p>
      <w:pPr>
        <w:spacing w:before="120"/>
      </w:pPr>
      <w:r>
        <w:rPr>
          <w:rFonts w:ascii="Calibri" w:cs="Calibri" w:eastAsia="Calibri" w:hAnsi="Calibri"/>
          <w:b w:val="false"/>
          <w:bCs w:val="false"/>
          <w:i/>
          <w:iCs/>
          <w:caps w:val="false"/>
          <w:color w:val="6B7280"/>
          <w:sz w:val="18"/>
          <w:szCs w:val="18"/>
        </w:rPr>
        <w:t xml:space="preserve">Reproducible — you may copy these pages for classroom use.</w:t>
      </w:r>
    </w:p>
    <w:p>
      <w:pPr>
        <w:pStyle w:val="Heading1"/>
        <w:keepNext/>
        <w:pageBreakBefore/>
        <w:spacing w:after="90" w:before="200"/>
      </w:pPr>
      <w:r>
        <w:rPr>
          <w:rFonts w:ascii="Calibri" w:cs="Calibri" w:eastAsia="Calibri" w:hAnsi="Calibri"/>
          <w:b/>
          <w:bCs/>
          <w:i w:val="false"/>
          <w:iCs w:val="false"/>
          <w:caps w:val="false"/>
          <w:color w:val="1B2A4A"/>
          <w:sz w:val="36"/>
          <w:szCs w:val="36"/>
        </w:rPr>
        <w:t xml:space="preserve">Part 1 — Reusable Blank Organizers (all subjects, all units)</w:t>
      </w:r>
    </w:p>
    <w:p>
      <w:pPr>
        <w:spacing w:after="100"/>
      </w:pPr>
      <w:r>
        <w:rPr>
          <w:rFonts w:ascii="Calibri" w:cs="Calibri" w:eastAsia="Calibri" w:hAnsi="Calibri"/>
          <w:b w:val="false"/>
          <w:bCs w:val="false"/>
          <w:i w:val="false"/>
          <w:iCs w:val="false"/>
          <w:caps w:val="false"/>
          <w:color w:val="1A1A1A"/>
          <w:sz w:val="22"/>
          <w:szCs w:val="22"/>
        </w:rPr>
        <w:t xml:space="preserve">Content-agnostic blanks. Print as many as you need; use across any standard or subject.</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Venn Diagram (2) — Compare &amp; Contrast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Task says “compare,” “contrast,” “how are they alike/different?” for TWO things. Marzano’s #1 strategy (identifying similarities &amp; differences). The shared column forces students to name what overlaps, not just list traits.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Only ______ (A)</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Both / shared</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Only ______ (B)</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Venn (3) / Triple T-Chart — Compare THREE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Comparing three people, groups, or ideas. Use the columns for each item and note shared traits in your notes.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3624"/>
        <w:gridCol w:w="3624"/>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A</w:t>
            </w:r>
          </w:p>
        </w:tc>
        <w:tc>
          <w:tcPr>
            <w:tcW w:type="dxa" w:w="36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B</w:t>
            </w:r>
          </w:p>
        </w:tc>
        <w:tc>
          <w:tcPr>
            <w:tcW w:type="dxa" w:w="36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C</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1</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2</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3</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Trait / criterion 4</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T-Chart — Two Sides / Pros &amp; Cons / Before–After</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Two categories to sort or weigh: benefits vs costs, pros vs cons, before vs after, cause vs effect. Fast, low-floor entry point for comparison.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______</w:t>
            </w:r>
          </w:p>
        </w:tc>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______</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Compare &amp; Contrast Matrix — Items × Criteria</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Comparing several items across the SAME set of criteria. Reduces cognitive load by making the comparison systematic.</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2416"/>
        <w:gridCol w:w="2416"/>
        <w:gridCol w:w="2416"/>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Criterion</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1</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2</w:t>
            </w:r>
          </w:p>
        </w:tc>
        <w:tc>
          <w:tcPr>
            <w:tcW w:type="dxa" w:w="24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Item 3</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24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Cause &amp; Effect — Causal Chains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Task asks “what caused…?”, “what were the effects/consequences of…?” Makes causal reasoning visible (builds SSP.05).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000"/>
        <w:gridCol w:w="648"/>
        <w:gridCol w:w="5000"/>
      </w:tblGrid>
      <w:tr>
        <w:trPr>
          <w:tblHeader/>
        </w:trPr>
        <w:tc>
          <w:tcPr>
            <w:tcW w:type="dxa" w:w="4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Cause</w:t>
            </w:r>
          </w:p>
        </w:tc>
        <w:tc>
          <w:tcPr>
            <w:tcW w:type="dxa" w:w="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t>
            </w:r>
          </w:p>
        </w:tc>
        <w:tc>
          <w:tcPr>
            <w:tcW w:type="dxa" w:w="5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Effect</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t>
            </w:r>
          </w:p>
        </w:tc>
        <w:tc>
          <w:tcPr>
            <w:tcW w:type="dxa" w:w="5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Timeline / Sequence — Chronology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Ordering events or tracing change over time. Builds chronological reasoning (SSP.05).</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gridCol w:w="3648"/>
      </w:tblGrid>
      <w:tr>
        <w:trPr>
          <w:tblHeader/>
        </w:trPr>
        <w:tc>
          <w:tcPr>
            <w:tcW w:type="dxa" w:w="2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Date / order</w:t>
            </w:r>
          </w:p>
        </w:tc>
        <w:tc>
          <w:tcPr>
            <w:tcW w:type="dxa" w:w="4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Event</w:t>
            </w:r>
          </w:p>
        </w:tc>
        <w:tc>
          <w:tcPr>
            <w:tcW w:type="dxa" w:w="3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it mattered</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Concept Web — Connect &amp; Brainstorm</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Activating prior knowledge or showing how ideas relate to a central concept. Great as a pre-reading or review move.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3324"/>
        <w:gridCol w:w="3324"/>
      </w:tblGrid>
      <w:tr>
        <w:trPr>
          <w:tblHeader/>
        </w:trPr>
        <w:tc>
          <w:tcPr>
            <w:tcW w:type="dxa" w:w="3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Central idea</w:t>
            </w:r>
          </w:p>
        </w:tc>
        <w:tc>
          <w:tcPr>
            <w:tcW w:type="dxa" w:w="33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Connected idea</w:t>
            </w:r>
          </w:p>
        </w:tc>
        <w:tc>
          <w:tcPr>
            <w:tcW w:type="dxa" w:w="33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How it connects</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3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Main Idea &amp; Details — Summarize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Pulling the central idea and its support from a text or source. Separates the big idea from the evidence.</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rPr>
          <w:tblHeader/>
        </w:trPr>
        <w:tc>
          <w:tcPr>
            <w:tcW w:type="dxa" w:w="9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MAIN IDEA</w:t>
            </w:r>
          </w:p>
        </w:tc>
      </w:tr>
      <w:tr>
        <w:tc>
          <w:tcPr>
            <w:tcW w:type="dxa" w:w="9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Detail</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KWL — Activate &amp; Track Learning</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Start of a standard: what students Know / Want to know; end: what they Learned. Builds metacognition and frames inquiry.</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K — what I Know</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 — what I Want to know</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L — what I Learned</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5 Ws — Cover the Basics of an Event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Making sure students capture who/what/when/where/why of an event before analysis.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400"/>
        <w:gridCol w:w="7248"/>
      </w:tblGrid>
      <w:tr>
        <w:trPr>
          <w:tblHeader/>
        </w:trPr>
        <w:tc>
          <w:tcPr>
            <w:tcW w:type="dxa" w:w="24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Question</w:t>
            </w:r>
          </w:p>
        </w:tc>
        <w:tc>
          <w:tcPr>
            <w:tcW w:type="dxa" w:w="72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Answer</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Who?</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What?</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When?</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Where?</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4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Why?</w:t>
            </w:r>
          </w:p>
        </w:tc>
        <w:tc>
          <w:tcPr>
            <w:tcW w:type="dxa" w:w="72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Problem &amp; Solution — Evaluate Responses</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Analyzing a problem and the responses to it (e.g., a policy or reform). Structures evaluation.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Problem</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Proposed solution</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Result / evaluation</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Frayer Model — Deep Vocabulary</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Learning a key term deeply (definition, characteristics, examples, non-examples).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4824"/>
        <w:gridCol w:w="4824"/>
      </w:tblGrid>
      <w:tr>
        <w:trPr>
          <w:tblHeader/>
        </w:trPr>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Definition (own words)</w:t>
            </w:r>
          </w:p>
        </w:tc>
        <w:tc>
          <w:tcPr>
            <w:tcW w:type="dxa" w:w="4824"/>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Characteristics</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Examples</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Non-examples</w:t>
            </w:r>
          </w:p>
        </w:tc>
      </w:tr>
      <w:tr>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4824"/>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CER — Build an Argument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Any “make a claim / defend / argue” task. Claim + two pieces of evidence + reasoning (builds SSP.04).</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Part</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Write here</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Claim</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 (two specifics)</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Reasoning</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HIPPO — Analyze a Primary Source</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Analyzing a photo, cartoon, map, or document (builds SSP.01–SSP.02). Pair with OPTIC for visuals.</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000"/>
        <w:gridCol w:w="6648"/>
      </w:tblGrid>
      <w:tr>
        <w:trPr>
          <w:tblHeader/>
        </w:trPr>
        <w:tc>
          <w:tcPr>
            <w:tcW w:type="dxa" w:w="30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H-I-P-P-O</w:t>
            </w:r>
          </w:p>
        </w:tc>
        <w:tc>
          <w:tcPr>
            <w:tcW w:type="dxa" w:w="66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Prompt / notes</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 — Historical context</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I — Intended audience</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 — Purpose</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P — Point of view</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0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O — Outside connection</w:t>
            </w:r>
          </w:p>
        </w:tc>
        <w:tc>
          <w:tcPr>
            <w:tcW w:type="dxa" w:w="66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 Tennessee Connection — Local ↔ National</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WHEN TO USE · WHY IT WORKS</w:t>
            </w:r>
          </w:p>
          <w:p>
            <w:pPr>
              <w:spacing w:after="40"/>
            </w:pPr>
            <w:r>
              <w:rPr>
                <w:rFonts w:ascii="Calibri" w:cs="Calibri" w:eastAsia="Calibri" w:hAnsi="Calibri"/>
                <w:b w:val="false"/>
                <w:bCs w:val="false"/>
                <w:i w:val="false"/>
                <w:iCs w:val="false"/>
                <w:caps w:val="false"/>
                <w:color w:val="1A1A1A"/>
                <w:sz w:val="22"/>
                <w:szCs w:val="22"/>
              </w:rPr>
              <w:t xml:space="preserve">Whenever a standard has a Tennessee tie: link the national event to our state/community and say why the local story matters. This local-to-national move is a HistoryHack signature — use it often.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16"/>
        <w:gridCol w:w="3216"/>
        <w:gridCol w:w="3216"/>
      </w:tblGrid>
      <w:tr>
        <w:trPr>
          <w:tblHeader/>
        </w:trPr>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The national event / idea</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Our Tennessee (or local) connection</w:t>
            </w:r>
          </w:p>
        </w:tc>
        <w:tc>
          <w:tcPr>
            <w:tcW w:type="dxa" w:w="3216"/>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9"/>
                <w:szCs w:val="19"/>
              </w:rPr>
              <w:t xml:space="preserve">Why the local story matters</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c>
          <w:tcPr>
            <w:tcW w:type="dxa" w:w="3216"/>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MAKE IT WORK FOR EVERY STUDENT (UDL · MTSS)</w:t>
            </w:r>
          </w:p>
          <w:p>
            <w:pPr>
              <w:spacing w:after="40"/>
            </w:pPr>
            <w:r>
              <w:rPr>
                <w:rFonts w:ascii="Calibri" w:cs="Calibri" w:eastAsia="Calibri" w:hAnsi="Calibri"/>
                <w:b w:val="false"/>
                <w:bCs w:val="false"/>
                <w:i w:val="false"/>
                <w:iCs w:val="false"/>
                <w:caps w:val="false"/>
                <w:color w:val="1A1A1A"/>
                <w:sz w:val="22"/>
                <w:szCs w:val="22"/>
              </w:rPr>
              <w:t xml:space="preserve">Scaffold — offer a sentence starter or a small word bank, or let students complete part of the organizer with a partner first.</w:t>
            </w:r>
          </w:p>
          <w:p>
            <w:pPr>
              <w:spacing w:after="40"/>
            </w:pPr>
            <w:r>
              <w:rPr>
                <w:rFonts w:ascii="Calibri" w:cs="Calibri" w:eastAsia="Calibri" w:hAnsi="Calibri"/>
                <w:b w:val="false"/>
                <w:bCs w:val="false"/>
                <w:i w:val="false"/>
                <w:iCs w:val="false"/>
                <w:caps w:val="false"/>
                <w:color w:val="1A1A1A"/>
                <w:sz w:val="22"/>
                <w:szCs w:val="22"/>
              </w:rPr>
              <w:t xml:space="preserve">Extend — push higher-DOK: “Which side has the stronger case, and why?” or “What would change if one factor were different?”</w:t>
            </w:r>
          </w:p>
          <w:p>
            <w:pPr>
              <w:spacing w:after="40"/>
            </w:pPr>
            <w:r>
              <w:rPr>
                <w:rFonts w:ascii="Calibri" w:cs="Calibri" w:eastAsia="Calibri" w:hAnsi="Calibri"/>
                <w:b w:val="false"/>
                <w:bCs w:val="false"/>
                <w:i w:val="false"/>
                <w:iCs w:val="false"/>
                <w:caps w:val="false"/>
                <w:color w:val="1A1A1A"/>
                <w:sz w:val="22"/>
                <w:szCs w:val="22"/>
              </w:rPr>
              <w:t xml:space="preserve">Show it your way — students may write, say it aloud, draw/label, or build it (UDL response choice). Sentence frame: “______ because ______, which shows ______.”</w:t>
            </w:r>
          </w:p>
        </w:tc>
      </w:tr>
    </w:tbl>
    <w:p>
      <w:pPr>
        <w:pStyle w:val="Heading1"/>
        <w:keepNext/>
        <w:pageBreakBefore/>
        <w:spacing w:after="90" w:before="200"/>
      </w:pPr>
      <w:r>
        <w:rPr>
          <w:rFonts w:ascii="Calibri" w:cs="Calibri" w:eastAsia="Calibri" w:hAnsi="Calibri"/>
          <w:b/>
          <w:bCs/>
          <w:i w:val="false"/>
          <w:iCs w:val="false"/>
          <w:caps w:val="false"/>
          <w:color w:val="1B2A4A"/>
          <w:sz w:val="36"/>
          <w:szCs w:val="36"/>
        </w:rPr>
        <w:t xml:space="preserve">Part 2 — Cornell Support Backs (per standard, reproducible)</w:t>
      </w:r>
    </w:p>
    <w:p>
      <w:pPr>
        <w:spacing w:after="100"/>
      </w:pPr>
      <w:r>
        <w:rPr>
          <w:rFonts w:ascii="Calibri" w:cs="Calibri" w:eastAsia="Calibri" w:hAnsi="Calibri"/>
          <w:b w:val="false"/>
          <w:bCs w:val="false"/>
          <w:i w:val="false"/>
          <w:iCs w:val="false"/>
          <w:caps w:val="false"/>
          <w:color w:val="1A1A1A"/>
          <w:sz w:val="22"/>
          <w:szCs w:val="22"/>
        </w:rPr>
        <w:t xml:space="preserve">Guided and Light scaffolds for each standard’s Cornell notes — moved here from the student workbook so you copy them only as needed (MTSS). Fade Guided → Light → independent as evidence grows.</w:t>
      </w:r>
    </w:p>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US.78 — Brown v. Board of Education: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Brown v. Board of Education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landmark 1954 Supreme Court decision that declared state laws establishing separate public schools for Black and white students unconstitutional, overturning Plessy v. Ferguson and ending legal school segregation.</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Thurgood Marshall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Chief counsel for the NAACP Legal Defense Fund who argued Brown v. Board of Education before the Supreme Court and later became the first African American Supreme Court Justice in 1967.</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Resistance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Southern states launched "massive resistance" campaign to defy ruling.</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brown v. board of education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brown v. board of education was Brown v. Board of Education: The landmark 1954 Supreme Court decision that declared state laws establishing separate public schools for Black and white students unconstitutional, overturning Plessy v. Ferguson and ending legal school segregation.</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Brown v. Board of Education</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Thurgood Marshall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Resistance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“Historical Context Leading to Brown v. Board”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“Key Details of the Court Case and Decision”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“Impact on Desegregation”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US.79 — Civil Rights Advocates and Opponents: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Little Rock Nine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nine African American students who integrated Central High School in Little Rock, Arkansas in 1957, facing violent mobs and requiring federal troops protection ordered by President Eisenhower.</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Thurgood Marshall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Chief counsel for the NAACP Legal Defense Fund who argued Brown v. Board of Education before the Supreme Court and later became the first African American Supreme Court Justice in 1967.</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Rosa Parks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"Mother of the Civil Rights Movement" who refused to give up her bus seat to a white passenger in Montgomery, Alabama in 1955, sparking the Montgomery Bus Boycott.</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civil rights advocates and opponents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civil rights advocates and opponents was Little Rock Nine: The nine African American students who integrated Central High School in Little Rock, Arkansas in 1957, facing violent mobs and requiring federal troops protection ordered by President Eisenhower.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Little Rock Nine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Thurgood Marshall</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Rosa Parks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“Civil Rights Advocates”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“Civil Rights Opponents”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“Comparing Approaches”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US.80 — Significant Civil Rights Events: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Little Rock Nine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nine African American students who integrated Central High School in Little Rock, Arkansas in 1957, facing violent mobs and requiring federal troops protection ordered by President Eisenhower.</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Rosa Parks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The "Mother of the Civil Rights Movement" who refused to give up her bus seat to a white passenger in Montgomery, Alabama in 1955, sparking the Montgomery Bus Boycott.</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Bull Connor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Birmingham, Alabama's Commissioner of Public Safety who violently opposed civil rights protesters in 1963, using police dogs and fire hoses against peaceful demonstrators, including children.</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significant civil rights events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significant civil rights events was Little Rock Nine: The nine African American students who integrated Central High School in Little Rock, Arkansas in 1957, facing violent mobs and requiring federal troops protection ordered by President Eisenhower.</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Little Rock Nine</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Rosa Parks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Bull Connor</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“Early Movement Victories”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“Tennessee's Role in the Movement”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“Confrontations That Changed America”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US.81 — Civil and Voting Rights Legislation: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Civil Rights Act of 1964</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Landmark federal legislation that outlawed discrimination based on race, color, religion, sex, or national origin, ending segregation in public accommodations and employment.</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Voting Rights Act of 1965</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Federal legislation that outlawed discriminatory voting practices (literacy tests, poll taxes) used to disenfranchise African Americans, dramatically increasing Black voter registration in the South.</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Civil Rights Act of 1968 (Fair Housing Act)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Federal law that prohibited discrimination in the sale, rental, and financing of housing based on race, religion, national origin, or sex, addressing residential segregation.</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civil and voting rights legislation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civil and voting rights legislation was Civil Rights Act of 1964: Landmark federal legislation that outlawed discrimination based on race, color, religion, sex, or national origin, ending segregation in public accommodations and employment.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Civil Rights Act of 1964</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Voting Rights Act of 1965</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Civil Rights Act of 1968 (Fair Housing Act)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“Civil Rights Act of 1964”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“Voting Rights Act of 1965”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“Civil Rights Act of 1968 (Fair Housing Act)”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p>
      <w:pPr>
        <w:pStyle w:val="Heading2"/>
        <w:keepNext/>
        <w:pageBreakBefore/>
        <w:spacing w:after="90" w:before="150"/>
      </w:pPr>
      <w:r>
        <w:rPr>
          <w:rFonts w:ascii="Calibri" w:cs="Calibri" w:eastAsia="Calibri" w:hAnsi="Calibri"/>
          <w:b/>
          <w:bCs/>
          <w:i w:val="false"/>
          <w:iCs w:val="false"/>
          <w:caps w:val="false"/>
          <w:color w:val="1B2A4A"/>
          <w:sz w:val="28"/>
          <w:szCs w:val="28"/>
        </w:rPr>
        <w:t xml:space="preserve">US.82 — American Indian, Chicano &amp; Feminist Movements: Cornell Support Backs</w:t>
      </w:r>
    </w:p>
    <w:p>
      <w:pPr>
        <w:spacing w:after="100"/>
      </w:pPr>
      <w:r>
        <w:rPr>
          <w:rFonts w:ascii="Calibri" w:cs="Calibri" w:eastAsia="Calibri" w:hAnsi="Calibri"/>
          <w:b w:val="false"/>
          <w:bCs w:val="false"/>
          <w:i/>
          <w:iCs/>
          <w:caps w:val="false"/>
          <w:color w:val="6B7280"/>
          <w:sz w:val="20"/>
          <w:szCs w:val="20"/>
        </w:rPr>
        <w:t xml:space="preserve">Reproducible — scaffolds ONLY the Cornell notes for this standard. Copy for students who need them; fade as evidence grows. Not a track, not a separate grade.</w:t>
      </w:r>
    </w:p>
    <w:p>
      <w:pPr>
        <w:pStyle w:val="Heading3"/>
        <w:keepNext/>
        <w:spacing w:after="90" w:before="150"/>
      </w:pPr>
      <w:r>
        <w:rPr>
          <w:rFonts w:ascii="Calibri" w:cs="Calibri" w:eastAsia="Calibri" w:hAnsi="Calibri"/>
          <w:b/>
          <w:bCs/>
          <w:i w:val="false"/>
          <w:iCs w:val="false"/>
          <w:caps w:val="false"/>
          <w:color w:val="B22234"/>
          <w:sz w:val="24"/>
          <w:szCs w:val="24"/>
        </w:rPr>
        <w:t xml:space="preserve">Guided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What it means</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American Indian Movement (AIM)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Civil rights organization founded in 1968 to address issues of poverty, police brutality, and treaty rights affecting Native Americans, using tactics inspired by the Black civil rights movement.</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Chicano Movement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Mexican American civil rights movement of the 1960s-70s that fought for labor rights, education reform, political representation, and cultural pride, led by figures like Cesar Chavez.</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Tactics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val="false"/>
                <w:bCs w:val="false"/>
                <w:i w:val="false"/>
                <w:iCs w:val="false"/>
                <w:caps w:val="false"/>
                <w:color w:val="1A1A1A"/>
                <w:sz w:val="20"/>
                <w:szCs w:val="20"/>
              </w:rPr>
              <w:t xml:space="preserve">Boycotts, strikes, marches inspired by civil rights movement.</w:t>
            </w:r>
          </w:p>
        </w:tc>
      </w:tr>
    </w:tbl>
    <w:p>
      <w:pPr>
        <w:spacing w:after="100"/>
      </w:pPr>
      <w:r>
        <w:rPr>
          <w:rFonts w:ascii="Calibri" w:cs="Calibri" w:eastAsia="Calibri" w:hAnsi="Calibri"/>
          <w:b w:val="false"/>
          <w:bCs w:val="false"/>
          <w:i w:val="false"/>
          <w:iCs w:val="false"/>
          <w:caps w:val="false"/>
          <w:color w:val="1A1A1A"/>
          <w:sz w:val="20"/>
          <w:szCs w:val="20"/>
        </w:rPr>
        <w:t xml:space="preserve">Break it into steps: 1) Name one cause or effect.  2) Give one piece of evidence.  3) Write one sentence explaining the link.</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Sentence frame</w:t>
            </w:r>
          </w:p>
          <w:p>
            <w:pPr>
              <w:spacing w:after="40"/>
            </w:pPr>
            <w:r>
              <w:rPr>
                <w:rFonts w:ascii="Calibri" w:cs="Calibri" w:eastAsia="Calibri" w:hAnsi="Calibri"/>
                <w:b w:val="false"/>
                <w:bCs w:val="false"/>
                <w:i w:val="false"/>
                <w:iCs w:val="false"/>
                <w:caps w:val="false"/>
                <w:color w:val="1A1A1A"/>
                <w:sz w:val="22"/>
                <w:szCs w:val="22"/>
              </w:rPr>
              <w:t xml:space="preserve">One key cause/effect of american indian, chicano &amp; feminist movements was ______, shown by ______, which mattered because ______.</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Modeled example (one worked note — yours will differ)</w:t>
            </w:r>
          </w:p>
          <w:p>
            <w:pPr>
              <w:spacing w:after="40"/>
            </w:pPr>
            <w:r>
              <w:rPr>
                <w:rFonts w:ascii="Calibri" w:cs="Calibri" w:eastAsia="Calibri" w:hAnsi="Calibri"/>
                <w:b w:val="false"/>
                <w:bCs w:val="false"/>
                <w:i w:val="false"/>
                <w:iCs w:val="false"/>
                <w:caps w:val="false"/>
                <w:color w:val="1A1A1A"/>
                <w:sz w:val="22"/>
                <w:szCs w:val="22"/>
              </w:rPr>
              <w:t xml:space="preserve">A key idea of american indian, chicano &amp; feminist movements was American Indian Movement (AIM): Civil rights organization founded in 1968 to address issues of poverty, police brutality, and treaty rights affecting Native Americans, using tactics inspired by the Black civil rights movement.</w:t>
            </w:r>
          </w:p>
        </w:tc>
      </w:tr>
    </w:tbl>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2600"/>
        <w:gridCol w:w="7048"/>
      </w:tblGrid>
      <w:tr>
        <w:trPr>
          <w:tblHeader/>
        </w:trPr>
        <w:tc>
          <w:tcPr>
            <w:tcW w:type="dxa" w:w="26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Step</w:t>
            </w:r>
          </w:p>
        </w:tc>
        <w:tc>
          <w:tcPr>
            <w:tcW w:type="dxa" w:w="70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Rehearse it here, then transfer to the Cornell front</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Name it</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Evidence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Explain</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26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Headline</w:t>
            </w:r>
          </w:p>
        </w:tc>
        <w:tc>
          <w:tcPr>
            <w:tcW w:type="dxa" w:w="70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pStyle w:val="Heading3"/>
        <w:keepNext/>
        <w:spacing w:after="90" w:before="150"/>
      </w:pPr>
      <w:r>
        <w:rPr>
          <w:rFonts w:ascii="Calibri" w:cs="Calibri" w:eastAsia="Calibri" w:hAnsi="Calibri"/>
          <w:b/>
          <w:bCs/>
          <w:i w:val="false"/>
          <w:iCs w:val="false"/>
          <w:caps w:val="false"/>
          <w:color w:val="B22234"/>
          <w:sz w:val="24"/>
          <w:szCs w:val="24"/>
        </w:rPr>
        <w:t xml:space="preserve">Light Support</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3200"/>
        <w:gridCol w:w="6448"/>
      </w:tblGrid>
      <w:tr>
        <w:trPr>
          <w:tblHeader/>
        </w:trPr>
        <w:tc>
          <w:tcPr>
            <w:tcW w:type="dxa" w:w="3200"/>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Key vocabulary</w:t>
            </w:r>
          </w:p>
        </w:tc>
        <w:tc>
          <w:tcPr>
            <w:tcW w:type="dxa" w:w="6448"/>
            <w:tcBorders>
              <w:top w:val="single" w:color="D9D5C8" w:sz="4" w:space="0"/>
              <w:left w:val="single" w:color="D9D5C8" w:sz="4" w:space="0"/>
              <w:bottom w:val="single" w:color="D9D5C8" w:sz="4" w:space="0"/>
              <w:right w:val="single" w:color="D9D5C8" w:sz="4" w:space="0"/>
            </w:tcBorders>
            <w:shd w:fill="1B2A4A" w:color="auto" w:val="clear"/>
            <w:tcMar>
              <w:top w:type="dxa" w:w="70"/>
              <w:left w:type="dxa" w:w="110"/>
              <w:bottom w:type="dxa" w:w="70"/>
              <w:right w:type="dxa" w:w="110"/>
            </w:tcMar>
          </w:tcPr>
          <w:p>
            <w:pPr>
              <w:spacing w:after="0"/>
            </w:pPr>
            <w:r>
              <w:rPr>
                <w:rFonts w:ascii="Calibri" w:cs="Calibri" w:eastAsia="Calibri" w:hAnsi="Calibri"/>
                <w:b/>
                <w:bCs/>
                <w:i w:val="false"/>
                <w:iCs w:val="false"/>
                <w:caps w:val="false"/>
                <w:color w:val="FFFFFF"/>
                <w:sz w:val="18"/>
                <w:szCs w:val="18"/>
              </w:rPr>
              <w:t xml:space="preserve">Finish the idea — “This term means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American Indian Movement (AIM)</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Chicano Movement</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r>
        <w:tc>
          <w:tcPr>
            <w:tcW w:type="dxa" w:w="3200"/>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spacing w:after="0"/>
            </w:pPr>
            <w:r>
              <w:rPr>
                <w:rFonts w:ascii="Calibri" w:cs="Calibri" w:eastAsia="Calibri" w:hAnsi="Calibri"/>
                <w:b/>
                <w:bCs/>
                <w:i w:val="false"/>
                <w:iCs w:val="false"/>
                <w:caps w:val="false"/>
                <w:color w:val="1A1A1A"/>
                <w:sz w:val="20"/>
                <w:szCs w:val="20"/>
              </w:rPr>
              <w:t xml:space="preserve">Tactics</w:t>
            </w:r>
          </w:p>
        </w:tc>
        <w:tc>
          <w:tcPr>
            <w:tcW w:type="dxa" w:w="6448"/>
            <w:tcBorders>
              <w:top w:val="single" w:color="D9D5C8" w:sz="4" w:space="0"/>
              <w:left w:val="single" w:color="D9D5C8" w:sz="4" w:space="0"/>
              <w:bottom w:val="single" w:color="D9D5C8" w:sz="4" w:space="0"/>
              <w:right w:val="single" w:color="D9D5C8" w:sz="4" w:space="0"/>
            </w:tcBorders>
            <w:tcMar>
              <w:top w:type="dxa" w:w="70"/>
              <w:left w:type="dxa" w:w="110"/>
              <w:bottom w:type="dxa" w:w="70"/>
              <w:right w:type="dxa" w:w="110"/>
            </w:tcMar>
          </w:tcPr>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c>
      </w:tr>
    </w:tbl>
    <w:p>
      <w:pPr>
        <w:spacing w:after="100"/>
      </w:pPr>
      <w:r>
        <w:rPr>
          <w:rFonts w:ascii="Calibri" w:cs="Calibri" w:eastAsia="Calibri" w:hAnsi="Calibri"/>
          <w:b/>
          <w:bCs/>
          <w:i w:val="false"/>
          <w:iCs w:val="false"/>
          <w:caps w:val="false"/>
          <w:color w:val="1A1A1A"/>
          <w:sz w:val="21"/>
          <w:szCs w:val="21"/>
        </w:rPr>
        <w:t xml:space="preserve">Guiding questions — answer on the lines below or in your front notes:</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“American Indian Movement (AIM)”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“Chicano Movement”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What is the main idea of the “Feminist Movement” section, and what evidence supports it?</w:t>
      </w:r>
    </w:p>
    <w:p>
      <w:pPr>
        <w:spacing w:after="100"/>
      </w:pPr>
      <w:r>
        <w:rPr>
          <w:rFonts w:ascii="Calibri" w:cs="Calibri" w:eastAsia="Calibri" w:hAnsi="Calibri"/>
          <w:b w:val="false"/>
          <w:bCs w:val="false"/>
          <w:i w:val="false"/>
          <w:iCs w:val="false"/>
          <w:caps w:val="false"/>
          <w:color w:val="1A1A1A"/>
          <w:sz w:val="20"/>
          <w:szCs w:val="20"/>
        </w:rPr>
        <w:t xml:space="preserve">• Whose perspective benefits in this passage, and whose is harmed or left out?</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p>
      <w:pPr>
        <w:spacing w:after="0" w:before="0" w:line="70" w:lineRule="exact"/>
      </w:pPr>
      <w:r>
        <w:rPr>
          <w:rFonts w:ascii="Calibri" w:cs="Calibri" w:eastAsia="Calibri" w:hAnsi="Calibri"/>
          <w:b w:val="false"/>
          <w:bCs w:val="false"/>
          <w:i w:val="false"/>
          <w:iCs w:val="false"/>
          <w:caps w:val="false"/>
          <w:color w:val="1A1A1A"/>
          <w:sz w:val="2"/>
          <w:szCs w:val="2"/>
        </w:rPr>
        <w:t xml:space="preserve"> </w:t>
      </w:r>
    </w:p>
    <w:p>
      <w:pPr>
        <w:pBdr>
          <w:bottom w:val="single" w:color="C9C4B5" w:sz="4" w:space="3"/>
        </w:pBdr>
        <w:spacing w:after="0" w:before="0" w:line="255" w:lineRule="auto"/>
      </w:pPr>
      <w:r>
        <w:rPr>
          <w:rFonts w:ascii="Calibri" w:cs="Calibri" w:eastAsia="Calibri" w:hAnsi="Calibri"/>
          <w:b w:val="false"/>
          <w:bCs w:val="false"/>
          <w:i w:val="false"/>
          <w:iCs w:val="false"/>
          <w:caps w:val="false"/>
          <w:color w:val="1A1A1A"/>
          <w:sz w:val="16"/>
          <w:szCs w:val="16"/>
        </w:rPr>
        <w:t xml:space="preserve"> </w:t>
      </w:r>
    </w:p>
    <w:tbl>
      <w:tblPr>
        <w:tblW w:type="dxa" w:w="9648"/>
        <w:tblBorders>
          <w:top w:val="single" w:color="auto" w:sz="4"/>
          <w:left w:val="single" w:color="auto" w:sz="4"/>
          <w:bottom w:val="single" w:color="auto" w:sz="4"/>
          <w:right w:val="single" w:color="auto" w:sz="4"/>
          <w:insideH w:val="single" w:color="auto" w:sz="4"/>
          <w:insideV w:val="single" w:color="auto" w:sz="4"/>
        </w:tblBorders>
      </w:tblPr>
      <w:tblGrid>
        <w:gridCol w:w="9648"/>
      </w:tblGrid>
      <w:tr>
        <w:tc>
          <w:tcPr>
            <w:tcW w:type="dxa" w:w="9648"/>
            <w:tcBorders>
              <w:top w:val="single" w:color="D9D5C8" w:sz="4" w:space="0"/>
              <w:left w:val="single" w:color="D9D5C8" w:sz="4" w:space="0"/>
              <w:bottom w:val="single" w:color="D9D5C8" w:sz="4" w:space="0"/>
              <w:right w:val="single" w:color="D9D5C8" w:sz="4" w:space="0"/>
            </w:tcBorders>
            <w:shd w:fill="F7F5EF" w:color="auto" w:val="clear"/>
            <w:tcMar>
              <w:top w:type="dxa" w:w="70"/>
              <w:left w:type="dxa" w:w="110"/>
              <w:bottom w:type="dxa" w:w="70"/>
              <w:right w:type="dxa" w:w="110"/>
            </w:tcMar>
          </w:tcPr>
          <w:p>
            <w:pPr>
              <w:spacing w:after="60"/>
            </w:pPr>
            <w:r>
              <w:rPr>
                <w:rFonts w:ascii="Calibri" w:cs="Calibri" w:eastAsia="Calibri" w:hAnsi="Calibri"/>
                <w:b/>
                <w:bCs/>
                <w:i w:val="false"/>
                <w:iCs w:val="false"/>
                <w:caps w:val="false"/>
                <w:color w:val="1B2A4A"/>
                <w:sz w:val="21"/>
                <w:szCs w:val="21"/>
              </w:rPr>
              <w:t xml:space="preserve">WHICH CUE STILL NEEDS WORK?</w:t>
            </w:r>
          </w:p>
          <w:p>
            <w:pPr>
              <w:spacing w:after="40"/>
            </w:pPr>
            <w:r>
              <w:rPr>
                <w:rFonts w:ascii="Calibri" w:cs="Calibri" w:eastAsia="Calibri" w:hAnsi="Calibri"/>
                <w:b w:val="false"/>
                <w:bCs w:val="false"/>
                <w:i w:val="false"/>
                <w:iCs w:val="false"/>
                <w:caps w:val="false"/>
                <w:color w:val="1A1A1A"/>
                <w:sz w:val="22"/>
                <w:szCs w:val="22"/>
              </w:rPr>
              <w:t xml:space="preserve">Circle the Cornell cue you still need help with, and tell your teacher.</w:t>
            </w:r>
          </w:p>
        </w:tc>
      </w:tr>
    </w:tbl>
    <w:sectPr>
      <w:headerReference w:type="default" r:id="rId7"/>
      <w:footerReference w:type="default" r:id="rId8"/>
      <w:pgSz w:w="12240" w:h="15840" w:orient="portrait"/>
      <w:pgMar w:top="1152" w:right="1296" w:bottom="1152" w:left="1296"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0"/>
      <w:jc w:val="center"/>
    </w:pPr>
    <w:r>
      <w:rPr>
        <w:rFonts w:ascii="Calibri" w:cs="Calibri" w:eastAsia="Calibri" w:hAnsi="Calibri"/>
        <w:b w:val="false"/>
        <w:bCs w:val="false"/>
        <w:i w:val="false"/>
        <w:iCs w:val="false"/>
        <w:caps w:val="false"/>
        <w:color w:val="6B7280"/>
        <w:sz w:val="16"/>
        <w:szCs w:val="16"/>
      </w:rPr>
      <w:t xml:space="preserve">U.S. History Hack™ · Unit 9 (Course Standard) © 2026 TroopToTeacher Technologies LLC   |   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jc w:val="right"/>
    </w:pPr>
    <w:r>
      <w:rPr>
        <w:rFonts w:ascii="Calibri" w:cs="Calibri" w:eastAsia="Calibri" w:hAnsi="Calibri"/>
        <w:b/>
        <w:bCs/>
        <w:i w:val="false"/>
        <w:iCs w:val="false"/>
        <w:caps w:val="false"/>
        <w:color w:val="C89B3C"/>
        <w:sz w:val="16"/>
        <w:szCs w:val="16"/>
      </w:rPr>
      <w:t xml:space="preserve">U.S. History Hack™ · Unit 9 · Teacher Graphic Organizer Toolkit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2026-07-27T07:16:41.086Z</dcterms:created>
  <dcterms:modified xsi:type="dcterms:W3CDTF">2026-07-27T07:16:41.086Z</dcterms:modified>
</cp:coreProperties>
</file>

<file path=docProps/custom.xml><?xml version="1.0" encoding="utf-8"?>
<Properties xmlns="http://schemas.openxmlformats.org/officeDocument/2006/custom-properties" xmlns:vt="http://schemas.openxmlformats.org/officeDocument/2006/docPropsVTypes"/>
</file>