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can unelected judges check the other branches — and what limits their power?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pteox_zrnscrf8u6mc62.png"/><Relationship Id="rId9" Type="http://schemas.openxmlformats.org/officeDocument/2006/relationships/image" Target="media/xkhx7tqzv1wlz_1hmxb4y.png"/><Relationship Id="rId10" Type="http://schemas.openxmlformats.org/officeDocument/2006/relationships/image" Target="media/6vykksaqje91ksdwu-awt.png"/><Relationship Id="rId11" Type="http://schemas.openxmlformats.org/officeDocument/2006/relationships/image" Target="media/iorrxy6nhgrnabnhbqhx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2026-07-30T20:40:29.591Z</dcterms:created>
  <dcterms:modified xsi:type="dcterms:W3CDTF">2026-07-30T20:40:29.591Z</dcterms:modified>
</cp:coreProperties>
</file>

<file path=docProps/custom.xml><?xml version="1.0" encoding="utf-8"?>
<Properties xmlns="http://schemas.openxmlformats.org/officeDocument/2006/custom-properties" xmlns:vt="http://schemas.openxmlformats.org/officeDocument/2006/docPropsVTypes"/>
</file>