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US.03 — Compromise of 1877, Jim Crow &amp; Plessy v. Ferguson</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Explain the impact of the Compromise of 1877, including Jim Crow laws, lynching, disenfranchisement methods, the efforts of Benjamin "Pap" Singleton and the Exodusters, and the Plessy v. Ferguson decision. (TCA)</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explain the impact of the Compromise of 1877, including Jim Crow laws, lynching, disenfranchisement methods, the efforts of Pap Singleton and the Exodusters, and the Plessy v. Ferguson decision.”</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The Election of 1876 and End of Reconstruction.</w:t>
      </w:r>
    </w:p>
    <w:p>
      <w:pPr>
        <w:pStyle w:val="ListParagraph"/>
        <w:numPr>
          <w:ilvl w:val="0"/>
          <w:numId w:val="2"/>
        </w:numPr>
        <w:spacing w:after="70" w:line="258"/>
      </w:pPr>
      <w:r>
        <w:rPr>
          <w:sz w:val="17"/>
          <w:szCs w:val="17"/>
        </w:rPr>
        <w:t xml:space="preserve">Jim Crow Laws, Lynching, and Disenfranchisement.</w:t>
      </w:r>
    </w:p>
    <w:p>
      <w:pPr>
        <w:pStyle w:val="ListParagraph"/>
        <w:numPr>
          <w:ilvl w:val="0"/>
          <w:numId w:val="2"/>
        </w:numPr>
        <w:spacing w:after="70" w:line="258"/>
      </w:pPr>
      <w:r>
        <w:rPr>
          <w:sz w:val="17"/>
          <w:szCs w:val="17"/>
        </w:rPr>
        <w:t xml:space="preserve">Pap Singleton and the Exodusters.</w:t>
      </w:r>
    </w:p>
    <w:p>
      <w:pPr>
        <w:spacing w:after="120" w:line="264"/>
      </w:pPr>
      <w:r>
        <w:rPr>
          <w:b/>
          <w:bCs/>
          <w:color w:val="1F3A5F"/>
          <w:sz w:val="17"/>
          <w:szCs w:val="17"/>
        </w:rPr>
        <w:t xml:space="preserve">Connection to prior learning: </w:t>
      </w:r>
      <w:r>
        <w:rPr>
          <w:sz w:val="17"/>
          <w:szCs w:val="17"/>
        </w:rPr>
        <w:t xml:space="preserve">Builds on US.02 (Federal Policies Toward American Indians)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experienced significant Jim Crow segregation, with state laws mandating separate facilities and schools. Ida B. Wells, born in Holly Springs, MS, lived and worked in Memphis before her anti-lynching crusade gained national prominence.</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US.03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Compromise of 1877, Jim Crow &amp; Plessy v. Ferguson.</w:t>
      </w:r>
    </w:p>
    <w:p>
      <w:pPr>
        <w:pStyle w:val="ListParagraph"/>
        <w:numPr>
          <w:ilvl w:val="0"/>
          <w:numId w:val="2"/>
        </w:numPr>
        <w:spacing w:after="70" w:line="258"/>
      </w:pPr>
      <w:r>
        <w:rPr>
          <w:b/>
          <w:bCs/>
          <w:sz w:val="17"/>
          <w:szCs w:val="17"/>
        </w:rPr>
        <w:t xml:space="preserve">Primary-source analysis: </w:t>
      </w:r>
      <w:r>
        <w:rPr>
          <w:sz w:val="17"/>
          <w:szCs w:val="17"/>
        </w:rPr>
        <w:t xml:space="preserve">HIPP organizer on “Plessy v. Ferguson Decision” (Supreme Court of the United States, May 18, 1896 (163 U.S. 537)).</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explain the impact of the Compromise of 1877, including Jim Crow laws, lynching, disenfranchisement methods, the efforts of Pap Singleton and the Exodusters, and the Plessy v. Ferguson decision.</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Federal Policies Toward American Indians (US.02); frame today's question</w:t>
            </w:r>
          </w:p>
        </w:tc>
        <w:tc>
          <w:tcPr>
            <w:tcW w:type="dxa" w:w="3360"/>
            <w:shd w:fill="FFFFFF" w:color="auto" w:val="clear"/>
            <w:tcMar>
              <w:top w:type="dxa" w:w="60"/>
              <w:left w:type="dxa" w:w="100"/>
              <w:bottom w:type="dxa" w:w="60"/>
              <w:right w:type="dxa" w:w="100"/>
            </w:tcMar>
          </w:tcPr>
          <w:p>
            <w:r>
              <w:rPr>
                <w:sz w:val="16"/>
                <w:szCs w:val="16"/>
              </w:rPr>
              <w:t xml:space="preserve">Guided Notes (Do-Now box)</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experienced significant Jim Crow segregation, with state laws mandating separate facilities and schools: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guided notes</w:t>
            </w:r>
          </w:p>
        </w:tc>
        <w:tc>
          <w:tcPr>
            <w:tcW w:type="dxa" w:w="3360"/>
            <w:shd w:fill="FFFFFF" w:color="auto" w:val="clear"/>
            <w:tcMar>
              <w:top w:type="dxa" w:w="60"/>
              <w:left w:type="dxa" w:w="100"/>
              <w:bottom w:type="dxa" w:w="60"/>
              <w:right w:type="dxa" w:w="100"/>
            </w:tcMar>
          </w:tcPr>
          <w:p>
            <w:r>
              <w:rPr>
                <w:sz w:val="16"/>
                <w:szCs w:val="16"/>
              </w:rPr>
              <w:t xml:space="preserve">Teacher Deck + Guided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US.04</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Guided Notes — scaffolded direct-instruction capture</w:t>
      </w:r>
    </w:p>
    <w:p>
      <w:pPr>
        <w:pStyle w:val="ListParagraph"/>
        <w:numPr>
          <w:ilvl w:val="0"/>
          <w:numId w:val="2"/>
        </w:numPr>
        <w:spacing w:after="70" w:line="258"/>
      </w:pPr>
      <w:r>
        <w:rPr>
          <w:sz w:val="17"/>
          <w:szCs w:val="17"/>
        </w:rPr>
        <w:t xml:space="preserve">Cornell Notes — cue/notes/summary for retention</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 organizer — sourcing &amp; analysis of “Plessy v. Ferguson Decision”</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Compromise of 1877 · Jim Crow Laws · Disenfranchisement · Plessy v. Ferguson · Exodusters</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(US.03)</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“Compromise of 1877”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Compromise of 1877, Jim Crow &amp; Plessy v. Ferguson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Evaluate the impact of Plessy v. Ferguson on American society and race relations.</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Compromise of 1877, Jim Crow &amp; Plessy v. Ferguson — support your claim with evidence from the source(s).</w:t>
            </w:r>
          </w:p>
        </w:tc>
      </w:tr>
    </w:tbl>
    <w:p>
      <w:pPr>
        <w:spacing w:before="40"/>
      </w:pPr>
      <w:r>
        <w:rPr>
          <w:i/>
          <w:iCs/>
          <w:color w:val="555555"/>
          <w:sz w:val="15"/>
          <w:szCs w:val="15"/>
        </w:rPr>
        <w:t xml:space="preserve">Anchored to the US.03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Compromise of 1877, Jim Crow &amp; Plessy v. Ferguson.</w:t>
      </w:r>
    </w:p>
    <w:p>
      <w:pPr>
        <w:pStyle w:val="ListParagraph"/>
        <w:numPr>
          <w:ilvl w:val="0"/>
          <w:numId w:val="2"/>
        </w:numPr>
        <w:spacing w:after="70" w:line="258"/>
      </w:pPr>
      <w:r>
        <w:rPr>
          <w:b/>
          <w:bCs/>
          <w:sz w:val="17"/>
          <w:szCs w:val="17"/>
        </w:rPr>
        <w:t xml:space="preserve">Research-based thinking: </w:t>
      </w:r>
      <w:r>
        <w:rPr>
          <w:sz w:val="17"/>
          <w:szCs w:val="17"/>
        </w:rPr>
        <w:t xml:space="preserve">evaluate “Plessy v. Ferguson Decision”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guided notes,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(US.03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sz w:val="16"/>
                <w:szCs w:val="16"/>
              </w:rPr>
              <w:t xml:space="preserve">Guided Notes</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sz w:val="16"/>
                <w:szCs w:val="16"/>
              </w:rPr>
              <w:t xml:space="preserve">Cornell Notes</w:t>
            </w:r>
          </w:p>
        </w:tc>
        <w:tc>
          <w:tcPr>
            <w:tcW w:type="dxa" w:w="4530"/>
            <w:shd w:fill="FFFFFF"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EEF2F6" w:color="auto" w:val="clear"/>
            <w:tcMar>
              <w:top w:type="dxa" w:w="60"/>
              <w:left w:type="dxa" w:w="100"/>
              <w:bottom w:type="dxa" w:w="60"/>
              <w:right w:type="dxa" w:w="100"/>
            </w:tcMar>
          </w:tcPr>
          <w:p>
            <w:r>
              <w:rPr>
                <w:sz w:val="16"/>
                <w:szCs w:val="16"/>
              </w:rPr>
              <w:t xml:space="preserve">Comparison / analysis organizer</w:t>
            </w:r>
          </w:p>
        </w:tc>
        <w:tc>
          <w:tcPr>
            <w:tcW w:type="dxa" w:w="4530"/>
            <w:shd w:fill="EEF2F6"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FFFFFF" w:color="auto" w:val="clear"/>
            <w:tcMar>
              <w:top w:type="dxa" w:w="60"/>
              <w:left w:type="dxa" w:w="100"/>
              <w:bottom w:type="dxa" w:w="60"/>
              <w:right w:type="dxa" w:w="100"/>
            </w:tcMar>
          </w:tcPr>
          <w:p>
            <w:r>
              <w:rPr>
                <w:sz w:val="16"/>
                <w:szCs w:val="16"/>
              </w:rPr>
              <w:t xml:space="preserve">CER organizer</w:t>
            </w:r>
          </w:p>
        </w:tc>
        <w:tc>
          <w:tcPr>
            <w:tcW w:type="dxa" w:w="4530"/>
            <w:shd w:fill="FFFFFF"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EEF2F6" w:color="auto" w:val="clear"/>
            <w:tcMar>
              <w:top w:type="dxa" w:w="60"/>
              <w:left w:type="dxa" w:w="100"/>
              <w:bottom w:type="dxa" w:w="60"/>
              <w:right w:type="dxa" w:w="100"/>
            </w:tcMar>
          </w:tcPr>
          <w:p>
            <w:r>
              <w:rPr>
                <w:sz w:val="16"/>
                <w:szCs w:val="16"/>
              </w:rPr>
              <w:t xml:space="preserve">HIPP organizer</w:t>
            </w:r>
          </w:p>
        </w:tc>
        <w:tc>
          <w:tcPr>
            <w:tcW w:type="dxa" w:w="4530"/>
            <w:shd w:fill="EEF2F6"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FFFFFF" w:color="auto" w:val="clear"/>
            <w:tcMar>
              <w:top w:type="dxa" w:w="60"/>
              <w:left w:type="dxa" w:w="100"/>
              <w:bottom w:type="dxa" w:w="60"/>
              <w:right w:type="dxa" w:w="100"/>
            </w:tcMar>
          </w:tcPr>
          <w:p>
            <w:r>
              <w:rPr>
                <w:sz w:val="16"/>
                <w:szCs w:val="16"/>
              </w:rPr>
              <w:t xml:space="preserve">Primary-Source Packet</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r>
        <w:tc>
          <w:tcPr>
            <w:tcW w:type="dxa" w:w="4530"/>
            <w:shd w:fill="EEF2F6" w:color="auto" w:val="clear"/>
            <w:tcMar>
              <w:top w:type="dxa" w:w="60"/>
              <w:left w:type="dxa" w:w="100"/>
              <w:bottom w:type="dxa" w:w="60"/>
              <w:right w:type="dxa" w:w="100"/>
            </w:tcMar>
          </w:tcPr>
          <w:p>
            <w:r>
              <w:rPr>
                <w:sz w:val="16"/>
                <w:szCs w:val="16"/>
              </w:rPr>
              <w:t xml:space="preserve">Formative Assessment</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US.03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 organizer.</w:t>
      </w:r>
    </w:p>
    <w:p>
      <w:pPr>
        <w:pStyle w:val="ListParagraph"/>
        <w:numPr>
          <w:ilvl w:val="0"/>
          <w:numId w:val="2"/>
        </w:numPr>
        <w:spacing w:after="70" w:line="258"/>
      </w:pPr>
      <w:r>
        <w:rPr>
          <w:sz w:val="17"/>
          <w:szCs w:val="17"/>
        </w:rPr>
        <w:t xml:space="preserve">Connect forward: how does the Compromise of 1877, Jim Crow &amp; Plessy v. Ferguson set up US.04 (Gilded Age Politics and Economics)?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(guided notes + a shorter source) in a small group — MTSS Tier 2.</w:t>
      </w:r>
    </w:p>
    <w:p>
      <w:pPr>
        <w:pStyle w:val="ListParagraph"/>
        <w:numPr>
          <w:ilvl w:val="0"/>
          <w:numId w:val="2"/>
        </w:numPr>
        <w:spacing w:after="70" w:line="258"/>
      </w:pPr>
      <w:r>
        <w:rPr>
          <w:b/>
          <w:bCs/>
          <w:sz w:val="17"/>
          <w:szCs w:val="17"/>
        </w:rPr>
        <w:t xml:space="preserve">One click — “Remediate US.03”: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guided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US.03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US.03 TEAM-Aligned Lesson Plan — U.S. History Hack</dc:title>
  <dc:subject>TEAM-Aligned Lesson Plan (US.03)</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2026-08-01T14:42:20.826Z</dcterms:created>
  <dcterms:modified xsi:type="dcterms:W3CDTF">2026-08-01T14:42:20.826Z</dcterms:modified>
</cp:coreProperties>
</file>

<file path=docProps/custom.xml><?xml version="1.0" encoding="utf-8"?>
<Properties xmlns="http://schemas.openxmlformats.org/officeDocument/2006/custom-properties" xmlns:vt="http://schemas.openxmlformats.org/officeDocument/2006/docPropsVTypes"/>
</file>