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2</w:t>
      </w:r>
    </w:p>
    <w:p>
      <w:pPr>
        <w:spacing w:after="120"/>
        <w:jc w:val="center"/>
      </w:pPr>
      <w:r>
        <w:rPr>
          <w:b/>
          <w:bCs/>
          <w:i w:val="false"/>
          <w:iCs w:val="false"/>
          <w:color w:val="1B2A4A"/>
          <w:sz w:val="32"/>
          <w:szCs w:val="32"/>
          <w:caps w:val="false"/>
          <w:rFonts w:ascii="Calibri" w:cs="Calibri" w:eastAsia="Calibri" w:hAnsi="Calibri"/>
        </w:rPr>
        <w:t xml:space="preserve">Citizen Participation</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 citizens shape their government — and what does it ask of them in return?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GC.31 — The Responsibilities of Citizens</w:t>
      </w:r>
    </w:p>
    <w:p>
      <w:pPr>
        <w:spacing w:after="60"/>
      </w:pPr>
      <w:r>
        <w:rPr>
          <w:b/>
          <w:bCs/>
          <w:i w:val="false"/>
          <w:iCs w:val="false"/>
          <w:color w:val="1A1A1A"/>
          <w:sz w:val="22"/>
          <w:szCs w:val="22"/>
          <w:caps w:val="false"/>
          <w:rFonts w:ascii="Calibri" w:cs="Calibri" w:eastAsia="Calibri" w:hAnsi="Calibri"/>
        </w:rPr>
        <w:t xml:space="preserve">TN Academic Standard GC.31: </w:t>
      </w:r>
      <w:r>
        <w:rPr>
          <w:b w:val="false"/>
          <w:bCs w:val="false"/>
          <w:i w:val="false"/>
          <w:iCs w:val="false"/>
          <w:color w:val="1A1A1A"/>
          <w:sz w:val="22"/>
          <w:szCs w:val="22"/>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what should reasonably be expected from any citizen or resident of the U.S. and explain why those responsibilities matter..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Civic Responsibility</w:t>
            </w:r>
            <w:r>
              <w:rPr>
                <w:b w:val="false"/>
                <w:bCs w:val="false"/>
                <w:i w:val="false"/>
                <w:iCs w:val="false"/>
                <w:color w:val="D9D5C8"/>
                <w:sz w:val="18"/>
                <w:szCs w:val="18"/>
                <w:caps w:val="false"/>
                <w:rFonts w:ascii="Calibri" w:cs="Calibri" w:eastAsia="Calibri" w:hAnsi="Calibri"/>
              </w:rPr>
              <w:t xml:space="preserve">      ·   ES: responsabilidad cívica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“Civic Responsibility”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Jury Duty</w:t>
            </w:r>
            <w:r>
              <w:rPr>
                <w:b w:val="false"/>
                <w:bCs w:val="false"/>
                <w:i w:val="false"/>
                <w:iCs w:val="false"/>
                <w:color w:val="D9D5C8"/>
                <w:sz w:val="18"/>
                <w:szCs w:val="18"/>
                <w:caps w:val="false"/>
                <w:rFonts w:ascii="Calibri" w:cs="Calibri" w:eastAsia="Calibri" w:hAnsi="Calibri"/>
              </w:rPr>
              <w:t xml:space="preserve">      ·   ES: deber de jurado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“Jury Duty”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21"/>
                <w:szCs w:val="21"/>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21"/>
                <w:szCs w:val="21"/>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21"/>
                <w:szCs w:val="21"/>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21"/>
                <w:szCs w:val="21"/>
                <w:caps w:val="false"/>
                <w:rFonts w:ascii="Calibri" w:cs="Calibri" w:eastAsia="Calibri" w:hAnsi="Calibri"/>
              </w:rPr>
              <w:t xml:space="preserve">D.   Because the Constitution requires a literacy test to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 The 6th Amendment guarantees a jury — how does that make jury duty a responsibility, not just a right?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u2-gc31-dok1-1 · pre-field-test]</w:t>
      </w:r>
    </w:p>
    <w:p>
      <w:pPr>
        <w:spacing w:after="100"/>
      </w:pPr>
      <w:r>
        <w:rPr>
          <w:b/>
          <w:bCs/>
          <w:i w:val="false"/>
          <w:iCs w:val="false"/>
          <w:color w:val="1A1A1A"/>
          <w:sz w:val="21"/>
          <w:szCs w:val="21"/>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20"/>
          <w:szCs w:val="20"/>
          <w:caps w:val="false"/>
          <w:rFonts w:ascii="Calibri" w:cs="Calibri" w:eastAsia="Calibri" w:hAnsi="Calibri"/>
        </w:rPr>
        <w:t xml:space="preserve">A. Volunteering at a food bank</w:t>
      </w:r>
    </w:p>
    <w:p>
      <w:pPr>
        <w:spacing w:after="20"/>
        <w:ind w:left="260"/>
      </w:pPr>
      <w:r>
        <w:rPr>
          <w:b w:val="false"/>
          <w:bCs w:val="false"/>
          <w:i w:val="false"/>
          <w:iCs w:val="false"/>
          <w:color w:val="1A1A1A"/>
          <w:sz w:val="20"/>
          <w:szCs w:val="2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20"/>
          <w:szCs w:val="20"/>
          <w:caps w:val="false"/>
          <w:rFonts w:ascii="Calibri" w:cs="Calibri" w:eastAsia="Calibri" w:hAnsi="Calibri"/>
        </w:rPr>
        <w:t xml:space="preserve">C. Following political news</w:t>
      </w:r>
    </w:p>
    <w:p>
      <w:pPr>
        <w:spacing w:after="20"/>
        <w:ind w:left="260"/>
      </w:pPr>
      <w:r>
        <w:rPr>
          <w:b w:val="false"/>
          <w:bCs w:val="false"/>
          <w:i w:val="false"/>
          <w:iCs w:val="false"/>
          <w:color w:val="1A1A1A"/>
          <w:sz w:val="20"/>
          <w:szCs w:val="20"/>
          <w:caps w:val="false"/>
          <w:rFonts w:ascii="Calibri" w:cs="Calibri" w:eastAsia="Calibri" w:hAnsi="Calibri"/>
        </w:rPr>
        <w:t xml:space="preserve">D. Attending a campaign rally</w:t>
      </w:r>
    </w:p>
    <w:p>
      <w:pPr>
        <w:spacing w:after="100"/>
      </w:pPr>
      <w:r>
        <w:rPr>
          <w:b/>
          <w:bCs/>
          <w:i w:val="false"/>
          <w:iCs w:val="false"/>
          <w:color w:val="6B7280"/>
          <w:sz w:val="18"/>
          <w:szCs w:val="18"/>
          <w:caps w:val="false"/>
          <w:rFonts w:ascii="Calibri" w:cs="Calibri" w:eastAsia="Calibri" w:hAnsi="Calibri"/>
        </w:rPr>
        <w:t xml:space="preserve">[DOK 2 · item u1-gc31-dok2-tc · pre-field-test]</w:t>
      </w:r>
    </w:p>
    <w:p>
      <w:pPr>
        <w:spacing w:after="100"/>
      </w:pPr>
      <w:r>
        <w:rPr>
          <w:b/>
          <w:bCs/>
          <w:i w:val="false"/>
          <w:iCs w:val="false"/>
          <w:color w:val="1A1A1A"/>
          <w:sz w:val="21"/>
          <w:szCs w:val="21"/>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20"/>
          <w:szCs w:val="2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20"/>
          <w:szCs w:val="2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20"/>
          <w:szCs w:val="2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GC.32 — Political Parties &amp; the Nomination Process</w:t>
      </w:r>
    </w:p>
    <w:p>
      <w:pPr>
        <w:spacing w:after="60"/>
      </w:pPr>
      <w:r>
        <w:rPr>
          <w:b/>
          <w:bCs/>
          <w:i w:val="false"/>
          <w:iCs w:val="false"/>
          <w:color w:val="1A1A1A"/>
          <w:sz w:val="22"/>
          <w:szCs w:val="22"/>
          <w:caps w:val="false"/>
          <w:rFonts w:ascii="Calibri" w:cs="Calibri" w:eastAsia="Calibri" w:hAnsi="Calibri"/>
        </w:rPr>
        <w:t xml:space="preserve">TN Academic Standard GC.32: </w:t>
      </w:r>
      <w:r>
        <w:rPr>
          <w:b w:val="false"/>
          <w:bCs w:val="false"/>
          <w:i w:val="false"/>
          <w:iCs w:val="false"/>
          <w:color w:val="1A1A1A"/>
          <w:sz w:val="22"/>
          <w:szCs w:val="22"/>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role of political parties in nominating presidential candidates and the difference between primaries, caucuses, and general elections..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Primary Election</w:t>
            </w:r>
            <w:r>
              <w:rPr>
                <w:b w:val="false"/>
                <w:bCs w:val="false"/>
                <w:i w:val="false"/>
                <w:iCs w:val="false"/>
                <w:color w:val="D9D5C8"/>
                <w:sz w:val="18"/>
                <w:szCs w:val="18"/>
                <w:caps w:val="false"/>
                <w:rFonts w:ascii="Calibri" w:cs="Calibri" w:eastAsia="Calibri" w:hAnsi="Calibri"/>
              </w:rPr>
              <w:t xml:space="preserve">      ·   ES: elección primaria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“Primary Election”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Caucus</w:t>
            </w:r>
            <w:r>
              <w:rPr>
                <w:b w:val="false"/>
                <w:bCs w:val="false"/>
                <w:i w:val="false"/>
                <w:iCs w:val="false"/>
                <w:color w:val="D9D5C8"/>
                <w:sz w:val="18"/>
                <w:szCs w:val="18"/>
                <w:caps w:val="false"/>
                <w:rFonts w:ascii="Calibri" w:cs="Calibri" w:eastAsia="Calibri" w:hAnsi="Calibri"/>
              </w:rPr>
              <w:t xml:space="preserve">      ·   ES: caucus / asamblea partidaria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“Caucus”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21"/>
                <w:szCs w:val="21"/>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21"/>
                <w:szCs w:val="21"/>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21"/>
                <w:szCs w:val="21"/>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21"/>
                <w:szCs w:val="21"/>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 Trace a candidate's path: primary/caucus → convention → general election. What happens at each step?</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FAREWELL ADDRESS</w:t>
            </w:r>
          </w:p>
          <w:p>
            <w:pPr>
              <w:spacing w:after="40"/>
            </w:pPr>
            <w:r>
              <w:rPr>
                <w:b w:val="false"/>
                <w:bCs w:val="false"/>
                <w:i w:val="false"/>
                <w:iCs w:val="false"/>
                <w:color w:val="1A1A1A"/>
                <w:sz w:val="22"/>
                <w:szCs w:val="22"/>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18"/>
          <w:szCs w:val="18"/>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u2-gc32-dok1-1 · pre-field-test]</w:t>
      </w:r>
    </w:p>
    <w:p>
      <w:pPr>
        <w:spacing w:after="100"/>
      </w:pPr>
      <w:r>
        <w:rPr>
          <w:b/>
          <w:bCs/>
          <w:i w:val="false"/>
          <w:iCs w:val="false"/>
          <w:color w:val="1A1A1A"/>
          <w:sz w:val="21"/>
          <w:szCs w:val="21"/>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A. Any registered voter</w:t>
      </w:r>
    </w:p>
    <w:p>
      <w:pPr>
        <w:spacing w:after="20"/>
        <w:ind w:left="260"/>
      </w:pPr>
      <w:r>
        <w:rPr>
          <w:b w:val="false"/>
          <w:bCs w:val="false"/>
          <w:i w:val="false"/>
          <w:iCs w:val="false"/>
          <w:color w:val="1A1A1A"/>
          <w:sz w:val="20"/>
          <w:szCs w:val="2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20"/>
          <w:szCs w:val="20"/>
          <w:caps w:val="false"/>
          <w:rFonts w:ascii="Calibri" w:cs="Calibri" w:eastAsia="Calibri" w:hAnsi="Calibri"/>
        </w:rPr>
        <w:t xml:space="preserve">C. Only elected officials</w:t>
      </w:r>
    </w:p>
    <w:p>
      <w:pPr>
        <w:spacing w:after="20"/>
        <w:ind w:left="260"/>
      </w:pPr>
      <w:r>
        <w:rPr>
          <w:b w:val="false"/>
          <w:bCs w:val="false"/>
          <w:i w:val="false"/>
          <w:iCs w:val="false"/>
          <w:color w:val="1A1A1A"/>
          <w:sz w:val="20"/>
          <w:szCs w:val="20"/>
          <w:caps w:val="false"/>
          <w:rFonts w:ascii="Calibri" w:cs="Calibri" w:eastAsia="Calibri" w:hAnsi="Calibri"/>
        </w:rPr>
        <w:t xml:space="preserve">D. Only voters over age 35</w:t>
      </w:r>
    </w:p>
    <w:p>
      <w:pPr>
        <w:spacing w:after="100"/>
      </w:pPr>
      <w:r>
        <w:rPr>
          <w:b/>
          <w:bCs/>
          <w:i w:val="false"/>
          <w:iCs w:val="false"/>
          <w:color w:val="6B7280"/>
          <w:sz w:val="18"/>
          <w:szCs w:val="18"/>
          <w:caps w:val="false"/>
          <w:rFonts w:ascii="Calibri" w:cs="Calibri" w:eastAsia="Calibri" w:hAnsi="Calibri"/>
        </w:rPr>
        <w:t xml:space="preserve">[DOK 2 · item u1-gc32-dok2-tc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20"/>
          <w:szCs w:val="2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20"/>
          <w:szCs w:val="2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20"/>
          <w:szCs w:val="2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20"/>
          <w:szCs w:val="2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GC.33 — The Media &amp; Public Opinion</w:t>
      </w:r>
    </w:p>
    <w:p>
      <w:pPr>
        <w:spacing w:after="60"/>
      </w:pPr>
      <w:r>
        <w:rPr>
          <w:b/>
          <w:bCs/>
          <w:i w:val="false"/>
          <w:iCs w:val="false"/>
          <w:color w:val="1A1A1A"/>
          <w:sz w:val="22"/>
          <w:szCs w:val="22"/>
          <w:caps w:val="false"/>
          <w:rFonts w:ascii="Calibri" w:cs="Calibri" w:eastAsia="Calibri" w:hAnsi="Calibri"/>
        </w:rPr>
        <w:t xml:space="preserve">TN Academic Standard GC.33: </w:t>
      </w:r>
      <w:r>
        <w:rPr>
          <w:b w:val="false"/>
          <w:bCs w:val="false"/>
          <w:i w:val="false"/>
          <w:iCs w:val="false"/>
          <w:color w:val="1A1A1A"/>
          <w:sz w:val="22"/>
          <w:szCs w:val="22"/>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role of the media in communicating information and how it shapes which issues seem important and how public opinion forms..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Media Bias</w:t>
            </w:r>
            <w:r>
              <w:rPr>
                <w:b w:val="false"/>
                <w:bCs w:val="false"/>
                <w:i w:val="false"/>
                <w:iCs w:val="false"/>
                <w:color w:val="D9D5C8"/>
                <w:sz w:val="18"/>
                <w:szCs w:val="18"/>
                <w:caps w:val="false"/>
                <w:rFonts w:ascii="Calibri" w:cs="Calibri" w:eastAsia="Calibri" w:hAnsi="Calibri"/>
              </w:rPr>
              <w:t xml:space="preserve">      ·   ES: sesgo mediático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“Media Bias”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Public Opinion</w:t>
            </w:r>
            <w:r>
              <w:rPr>
                <w:b w:val="false"/>
                <w:bCs w:val="false"/>
                <w:i w:val="false"/>
                <w:iCs w:val="false"/>
                <w:color w:val="D9D5C8"/>
                <w:sz w:val="18"/>
                <w:szCs w:val="18"/>
                <w:caps w:val="false"/>
                <w:rFonts w:ascii="Calibri" w:cs="Calibri" w:eastAsia="Calibri" w:hAnsi="Calibri"/>
              </w:rPr>
              <w:t xml:space="preserve">      ·   ES: opinión pública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“Public Opinion”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21"/>
                <w:szCs w:val="21"/>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21"/>
                <w:szCs w:val="21"/>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21"/>
                <w:szCs w:val="21"/>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21"/>
                <w:szCs w:val="21"/>
                <w:caps w:val="false"/>
                <w:rFonts w:ascii="Calibri" w:cs="Calibri" w:eastAsia="Calibri" w:hAnsi="Calibri"/>
              </w:rPr>
              <w:t xml:space="preserve">D.   Only the number of people polled matters, never the wording</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 Give an example of how changing a poll question's wording could change the result.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LETTER TO EDWARD CARRINGTON</w:t>
            </w:r>
          </w:p>
          <w:p>
            <w:pPr>
              <w:spacing w:after="40"/>
            </w:pPr>
            <w:r>
              <w:rPr>
                <w:b w:val="false"/>
                <w:bCs w:val="false"/>
                <w:i w:val="false"/>
                <w:iCs w:val="false"/>
                <w:color w:val="1A1A1A"/>
                <w:sz w:val="22"/>
                <w:szCs w:val="22"/>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18"/>
          <w:szCs w:val="18"/>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u2-gc33-dok1-1 · pre-field-test]</w:t>
      </w:r>
    </w:p>
    <w:p>
      <w:pPr>
        <w:spacing w:after="100"/>
      </w:pPr>
      <w:r>
        <w:rPr>
          <w:b/>
          <w:bCs/>
          <w:i w:val="false"/>
          <w:iCs w:val="false"/>
          <w:color w:val="1A1A1A"/>
          <w:sz w:val="21"/>
          <w:szCs w:val="21"/>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20"/>
          <w:szCs w:val="20"/>
          <w:caps w:val="false"/>
          <w:rFonts w:ascii="Calibri" w:cs="Calibri" w:eastAsia="Calibri" w:hAnsi="Calibri"/>
        </w:rPr>
        <w:t xml:space="preserve">A. The First Amendment</w:t>
      </w:r>
    </w:p>
    <w:p>
      <w:pPr>
        <w:spacing w:after="20"/>
        <w:ind w:left="260"/>
      </w:pPr>
      <w:r>
        <w:rPr>
          <w:b w:val="false"/>
          <w:bCs w:val="false"/>
          <w:i w:val="false"/>
          <w:iCs w:val="false"/>
          <w:color w:val="1A1A1A"/>
          <w:sz w:val="20"/>
          <w:szCs w:val="20"/>
          <w:caps w:val="false"/>
          <w:rFonts w:ascii="Calibri" w:cs="Calibri" w:eastAsia="Calibri" w:hAnsi="Calibri"/>
        </w:rPr>
        <w:t xml:space="preserve">B.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C. The Tenth Amendment</w:t>
      </w:r>
    </w:p>
    <w:p>
      <w:pPr>
        <w:spacing w:after="20"/>
        <w:ind w:left="260"/>
      </w:pPr>
      <w:r>
        <w:rPr>
          <w:b w:val="false"/>
          <w:bCs w:val="false"/>
          <w:i w:val="false"/>
          <w:iCs w:val="false"/>
          <w:color w:val="1A1A1A"/>
          <w:sz w:val="20"/>
          <w:szCs w:val="20"/>
          <w:caps w:val="false"/>
          <w:rFonts w:ascii="Calibri" w:cs="Calibri" w:eastAsia="Calibri" w:hAnsi="Calibri"/>
        </w:rPr>
        <w:t xml:space="preserve">D. The Seventeenth Amendment</w:t>
      </w:r>
    </w:p>
    <w:p>
      <w:pPr>
        <w:spacing w:after="100"/>
      </w:pPr>
      <w:r>
        <w:rPr>
          <w:b/>
          <w:bCs/>
          <w:i w:val="false"/>
          <w:iCs w:val="false"/>
          <w:color w:val="6B7280"/>
          <w:sz w:val="18"/>
          <w:szCs w:val="18"/>
          <w:caps w:val="false"/>
          <w:rFonts w:ascii="Calibri" w:cs="Calibri" w:eastAsia="Calibri" w:hAnsi="Calibri"/>
        </w:rPr>
        <w:t xml:space="preserve">[DOK 3 · item u1-gc33-dok3-tc · pre-field-test]</w:t>
      </w:r>
    </w:p>
    <w:p>
      <w:pPr>
        <w:spacing w:after="100"/>
      </w:pPr>
      <w:r>
        <w:rPr>
          <w:b/>
          <w:bCs/>
          <w:i w:val="false"/>
          <w:iCs w:val="false"/>
          <w:color w:val="1A1A1A"/>
          <w:sz w:val="21"/>
          <w:szCs w:val="21"/>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20"/>
          <w:szCs w:val="2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20"/>
          <w:szCs w:val="2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20"/>
          <w:szCs w:val="2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20"/>
          <w:szCs w:val="2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GC.34 — Means of Political Participation</w:t>
      </w:r>
    </w:p>
    <w:p>
      <w:pPr>
        <w:spacing w:after="60"/>
      </w:pPr>
      <w:r>
        <w:rPr>
          <w:b/>
          <w:bCs/>
          <w:i w:val="false"/>
          <w:iCs w:val="false"/>
          <w:color w:val="1A1A1A"/>
          <w:sz w:val="22"/>
          <w:szCs w:val="22"/>
          <w:caps w:val="false"/>
          <w:rFonts w:ascii="Calibri" w:cs="Calibri" w:eastAsia="Calibri" w:hAnsi="Calibri"/>
        </w:rPr>
        <w:t xml:space="preserve">TN Academic Standard GC.34: </w:t>
      </w:r>
      <w:r>
        <w:rPr>
          <w:b w:val="false"/>
          <w:bCs w:val="false"/>
          <w:i w:val="false"/>
          <w:iCs w:val="false"/>
          <w:color w:val="1A1A1A"/>
          <w:sz w:val="22"/>
          <w:szCs w:val="22"/>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many ways citizens participate in the political process, from voting and petitioning to campaigning, lobbying, and running for office..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Lobbying</w:t>
            </w:r>
            <w:r>
              <w:rPr>
                <w:b w:val="false"/>
                <w:bCs w:val="false"/>
                <w:i w:val="false"/>
                <w:iCs w:val="false"/>
                <w:color w:val="D9D5C8"/>
                <w:sz w:val="18"/>
                <w:szCs w:val="18"/>
                <w:caps w:val="false"/>
                <w:rFonts w:ascii="Calibri" w:cs="Calibri" w:eastAsia="Calibri" w:hAnsi="Calibri"/>
              </w:rPr>
              <w:t xml:space="preserve">      ·   ES: cabildeo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“Lobbying”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Petition</w:t>
            </w:r>
            <w:r>
              <w:rPr>
                <w:b w:val="false"/>
                <w:bCs w:val="false"/>
                <w:i w:val="false"/>
                <w:iCs w:val="false"/>
                <w:color w:val="D9D5C8"/>
                <w:sz w:val="18"/>
                <w:szCs w:val="18"/>
                <w:caps w:val="false"/>
                <w:rFonts w:ascii="Calibri" w:cs="Calibri" w:eastAsia="Calibri" w:hAnsi="Calibri"/>
              </w:rPr>
              <w:t xml:space="preserve">      ·   ES: petición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“Petition”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21"/>
                <w:szCs w:val="21"/>
                <w:caps w:val="false"/>
                <w:rFonts w:ascii="Calibri" w:cs="Calibri" w:eastAsia="Calibri" w:hAnsi="Calibri"/>
              </w:rPr>
              <w:t xml:space="preserve">A.   The right to bear arms</w:t>
            </w:r>
          </w:p>
          <w:p>
            <w:pPr>
              <w:spacing w:after="30"/>
              <w:ind w:left="360"/>
            </w:pPr>
            <w:r>
              <w:rPr>
                <w:b w:val="false"/>
                <w:bCs w:val="false"/>
                <w:i w:val="false"/>
                <w:iCs w:val="false"/>
                <w:color w:val="1A1A1A"/>
                <w:sz w:val="21"/>
                <w:szCs w:val="21"/>
                <w:caps w:val="false"/>
                <w:rFonts w:ascii="Calibri" w:cs="Calibri" w:eastAsia="Calibri" w:hAnsi="Calibri"/>
              </w:rPr>
              <w:t xml:space="preserve">B.   The right to a speedy trial</w:t>
            </w:r>
          </w:p>
          <w:p>
            <w:pPr>
              <w:spacing w:after="30"/>
              <w:ind w:left="360"/>
            </w:pPr>
            <w:r>
              <w:rPr>
                <w:b w:val="false"/>
                <w:bCs w:val="false"/>
                <w:i w:val="false"/>
                <w:iCs w:val="false"/>
                <w:color w:val="1A1A1A"/>
                <w:sz w:val="21"/>
                <w:szCs w:val="21"/>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21"/>
                <w:szCs w:val="21"/>
                <w:caps w:val="false"/>
                <w:rFonts w:ascii="Calibri" w:cs="Calibri" w:eastAsia="Calibri" w:hAnsi="Calibri"/>
              </w:rPr>
              <w:t xml:space="preserve">D.   The right to assemble and to petition the government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 The Declaration says government rests on the people — how does that idea justify protest and petition?</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u2-gc34-dok1-1 · pre-field-test]</w:t>
      </w:r>
    </w:p>
    <w:p>
      <w:pPr>
        <w:spacing w:after="100"/>
      </w:pPr>
      <w:r>
        <w:rPr>
          <w:b/>
          <w:bCs/>
          <w:i w:val="false"/>
          <w:iCs w:val="false"/>
          <w:color w:val="1A1A1A"/>
          <w:sz w:val="21"/>
          <w:szCs w:val="21"/>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20"/>
          <w:szCs w:val="20"/>
          <w:caps w:val="false"/>
          <w:rFonts w:ascii="Calibri" w:cs="Calibri" w:eastAsia="Calibri" w:hAnsi="Calibri"/>
        </w:rPr>
        <w:t xml:space="preserve">A. Referendum</w:t>
      </w:r>
    </w:p>
    <w:p>
      <w:pPr>
        <w:spacing w:after="20"/>
        <w:ind w:left="260"/>
      </w:pPr>
      <w:r>
        <w:rPr>
          <w:b w:val="false"/>
          <w:bCs w:val="false"/>
          <w:i w:val="false"/>
          <w:iCs w:val="false"/>
          <w:color w:val="1A1A1A"/>
          <w:sz w:val="20"/>
          <w:szCs w:val="20"/>
          <w:caps w:val="false"/>
          <w:rFonts w:ascii="Calibri" w:cs="Calibri" w:eastAsia="Calibri" w:hAnsi="Calibri"/>
        </w:rPr>
        <w:t xml:space="preserve">B. Initiative</w:t>
      </w:r>
    </w:p>
    <w:p>
      <w:pPr>
        <w:spacing w:after="20"/>
        <w:ind w:left="260"/>
      </w:pPr>
      <w:r>
        <w:rPr>
          <w:b w:val="false"/>
          <w:bCs w:val="false"/>
          <w:i w:val="false"/>
          <w:iCs w:val="false"/>
          <w:color w:val="1A1A1A"/>
          <w:sz w:val="20"/>
          <w:szCs w:val="20"/>
          <w:caps w:val="false"/>
          <w:rFonts w:ascii="Calibri" w:cs="Calibri" w:eastAsia="Calibri" w:hAnsi="Calibri"/>
        </w:rPr>
        <w:t xml:space="preserve">C. Recall</w:t>
      </w:r>
    </w:p>
    <w:p>
      <w:pPr>
        <w:spacing w:after="20"/>
        <w:ind w:left="260"/>
      </w:pPr>
      <w:r>
        <w:rPr>
          <w:b w:val="false"/>
          <w:bCs w:val="false"/>
          <w:i w:val="false"/>
          <w:iCs w:val="false"/>
          <w:color w:val="1A1A1A"/>
          <w:sz w:val="20"/>
          <w:szCs w:val="20"/>
          <w:caps w:val="false"/>
          <w:rFonts w:ascii="Calibri" w:cs="Calibri" w:eastAsia="Calibri" w:hAnsi="Calibri"/>
        </w:rPr>
        <w:t xml:space="preserve">D. Primary</w:t>
      </w:r>
    </w:p>
    <w:p>
      <w:pPr>
        <w:spacing w:after="100"/>
      </w:pPr>
      <w:r>
        <w:rPr>
          <w:b/>
          <w:bCs/>
          <w:i w:val="false"/>
          <w:iCs w:val="false"/>
          <w:color w:val="6B7280"/>
          <w:sz w:val="18"/>
          <w:szCs w:val="18"/>
          <w:caps w:val="false"/>
          <w:rFonts w:ascii="Calibri" w:cs="Calibri" w:eastAsia="Calibri" w:hAnsi="Calibri"/>
        </w:rPr>
        <w:t xml:space="preserve">[DOK 2 · item u1-gc34-dok2-tc · pre-field-test]</w:t>
      </w:r>
    </w:p>
    <w:p>
      <w:pPr>
        <w:spacing w:after="100"/>
      </w:pPr>
      <w:r>
        <w:rPr>
          <w:b/>
          <w:bCs/>
          <w:i w:val="false"/>
          <w:iCs w:val="false"/>
          <w:color w:val="1A1A1A"/>
          <w:sz w:val="21"/>
          <w:szCs w:val="21"/>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20"/>
          <w:szCs w:val="20"/>
          <w:caps w:val="false"/>
          <w:rFonts w:ascii="Calibri" w:cs="Calibri" w:eastAsia="Calibri" w:hAnsi="Calibri"/>
        </w:rPr>
        <w:t xml:space="preserve">A. The right to bear arms</w:t>
      </w:r>
    </w:p>
    <w:p>
      <w:pPr>
        <w:spacing w:after="20"/>
        <w:ind w:left="260"/>
      </w:pPr>
      <w:r>
        <w:rPr>
          <w:b w:val="false"/>
          <w:bCs w:val="false"/>
          <w:i w:val="false"/>
          <w:iCs w:val="false"/>
          <w:color w:val="1A1A1A"/>
          <w:sz w:val="20"/>
          <w:szCs w:val="20"/>
          <w:caps w:val="false"/>
          <w:rFonts w:ascii="Calibri" w:cs="Calibri" w:eastAsia="Calibri" w:hAnsi="Calibri"/>
        </w:rPr>
        <w:t xml:space="preserve">B. The right to a speedy trial</w:t>
      </w:r>
    </w:p>
    <w:p>
      <w:pPr>
        <w:spacing w:after="20"/>
        <w:ind w:left="260"/>
      </w:pPr>
      <w:r>
        <w:rPr>
          <w:b w:val="false"/>
          <w:bCs w:val="false"/>
          <w:i w:val="false"/>
          <w:iCs w:val="false"/>
          <w:color w:val="1A1A1A"/>
          <w:sz w:val="20"/>
          <w:szCs w:val="2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20"/>
          <w:szCs w:val="2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GC.31: </w:t>
      </w:r>
      <w:r>
        <w:rPr>
          <w:b w:val="false"/>
          <w:bCs w:val="false"/>
          <w:i w:val="false"/>
          <w:iCs w:val="false"/>
          <w:color w:val="1A1A1A"/>
          <w:sz w:val="21"/>
          <w:szCs w:val="21"/>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21"/>
          <w:szCs w:val="21"/>
          <w:caps w:val="false"/>
          <w:rFonts w:ascii="Calibri" w:cs="Calibri" w:eastAsia="Calibri" w:hAnsi="Calibri"/>
        </w:rPr>
        <w:t xml:space="preserve">GC.32: </w:t>
      </w:r>
      <w:r>
        <w:rPr>
          <w:b w:val="false"/>
          <w:bCs w:val="false"/>
          <w:i w:val="false"/>
          <w:iCs w:val="false"/>
          <w:color w:val="1A1A1A"/>
          <w:sz w:val="21"/>
          <w:szCs w:val="21"/>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21"/>
          <w:szCs w:val="21"/>
          <w:caps w:val="false"/>
          <w:rFonts w:ascii="Calibri" w:cs="Calibri" w:eastAsia="Calibri" w:hAnsi="Calibri"/>
        </w:rPr>
        <w:t xml:space="preserve">GC.33: </w:t>
      </w:r>
      <w:r>
        <w:rPr>
          <w:b w:val="false"/>
          <w:bCs w:val="false"/>
          <w:i w:val="false"/>
          <w:iCs w:val="false"/>
          <w:color w:val="1A1A1A"/>
          <w:sz w:val="21"/>
          <w:szCs w:val="21"/>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21"/>
          <w:szCs w:val="21"/>
          <w:caps w:val="false"/>
          <w:rFonts w:ascii="Calibri" w:cs="Calibri" w:eastAsia="Calibri" w:hAnsi="Calibri"/>
        </w:rPr>
        <w:t xml:space="preserve">GC.34: </w:t>
      </w:r>
      <w:r>
        <w:rPr>
          <w:b w:val="false"/>
          <w:bCs w:val="false"/>
          <w:i w:val="false"/>
          <w:iCs w:val="false"/>
          <w:color w:val="1A1A1A"/>
          <w:sz w:val="21"/>
          <w:szCs w:val="21"/>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GC.31 — The Responsibilities of Citizens</w:t>
      </w:r>
    </w:p>
    <w:p>
      <w:pPr>
        <w:spacing w:after="100"/>
      </w:pPr>
      <w:r>
        <w:rPr>
          <w:b/>
          <w:bCs/>
          <w:i w:val="false"/>
          <w:iCs w:val="false"/>
          <w:color w:val="1A1A1A"/>
          <w:sz w:val="19"/>
          <w:szCs w:val="19"/>
          <w:caps w:val="false"/>
          <w:rFonts w:ascii="Calibri" w:cs="Calibri" w:eastAsia="Calibri" w:hAnsi="Calibri"/>
        </w:rPr>
        <w:t xml:space="preserve">Letter to Richard Price. </w:t>
      </w:r>
      <w:r>
        <w:rPr>
          <w:b w:val="false"/>
          <w:bCs w:val="false"/>
          <w:i w:val="false"/>
          <w:iCs w:val="false"/>
          <w:color w:val="1A1A1A"/>
          <w:sz w:val="19"/>
          <w:szCs w:val="19"/>
          <w:caps w:val="false"/>
          <w:rFonts w:ascii="Calibri" w:cs="Calibri" w:eastAsia="Calibri" w:hAnsi="Calibri"/>
        </w:rPr>
        <w:t xml:space="preserve">Thomas Jefferson, 1789.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https://founders.archives.gov/documents/Jefferson/01-14-02-0196</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GC.32 — Political Parties &amp; the Nomination Process</w:t>
      </w:r>
    </w:p>
    <w:p>
      <w:pPr>
        <w:spacing w:after="100"/>
      </w:pPr>
      <w:r>
        <w:rPr>
          <w:b/>
          <w:bCs/>
          <w:i w:val="false"/>
          <w:iCs w:val="false"/>
          <w:color w:val="1A1A1A"/>
          <w:sz w:val="19"/>
          <w:szCs w:val="19"/>
          <w:caps w:val="false"/>
          <w:rFonts w:ascii="Calibri" w:cs="Calibri" w:eastAsia="Calibri" w:hAnsi="Calibri"/>
        </w:rPr>
        <w:t xml:space="preserve">Farewell Address. </w:t>
      </w:r>
      <w:r>
        <w:rPr>
          <w:b w:val="false"/>
          <w:bCs w:val="false"/>
          <w:i w:val="false"/>
          <w:iCs w:val="false"/>
          <w:color w:val="1A1A1A"/>
          <w:sz w:val="19"/>
          <w:szCs w:val="19"/>
          <w:caps w:val="false"/>
          <w:rFonts w:ascii="Calibri" w:cs="Calibri" w:eastAsia="Calibri" w:hAnsi="Calibri"/>
        </w:rPr>
        <w:t xml:space="preserve">George Washington, 1796.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https://avalon.law.yale.edu/18th_century/washing.asp</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https://avalon.law.yale.edu/18th_century/fed10.asp</w:t>
      </w:r>
    </w:p>
    <w:p>
      <w:pPr>
        <w:spacing w:after="100"/>
      </w:pPr>
      <w:r>
        <w:rPr>
          <w:b/>
          <w:bCs/>
          <w:i w:val="false"/>
          <w:iCs w:val="false"/>
          <w:color w:val="1B2A4A"/>
          <w:sz w:val="21"/>
          <w:szCs w:val="21"/>
          <w:caps w:val="false"/>
          <w:rFonts w:ascii="Calibri" w:cs="Calibri" w:eastAsia="Calibri" w:hAnsi="Calibri"/>
        </w:rPr>
        <w:t xml:space="preserve">GC.33 — The Media &amp; Public Opinion</w:t>
      </w:r>
    </w:p>
    <w:p>
      <w:pPr>
        <w:spacing w:after="100"/>
      </w:pPr>
      <w:r>
        <w:rPr>
          <w:b/>
          <w:bCs/>
          <w:i w:val="false"/>
          <w:iCs w:val="false"/>
          <w:color w:val="1A1A1A"/>
          <w:sz w:val="19"/>
          <w:szCs w:val="19"/>
          <w:caps w:val="false"/>
          <w:rFonts w:ascii="Calibri" w:cs="Calibri" w:eastAsia="Calibri" w:hAnsi="Calibri"/>
        </w:rPr>
        <w:t xml:space="preserve">Letter to Edward Carrington. </w:t>
      </w:r>
      <w:r>
        <w:rPr>
          <w:b w:val="false"/>
          <w:bCs w:val="false"/>
          <w:i w:val="false"/>
          <w:iCs w:val="false"/>
          <w:color w:val="1A1A1A"/>
          <w:sz w:val="19"/>
          <w:szCs w:val="19"/>
          <w:caps w:val="false"/>
          <w:rFonts w:ascii="Calibri" w:cs="Calibri" w:eastAsia="Calibri" w:hAnsi="Calibri"/>
        </w:rPr>
        <w:t xml:space="preserve">Thomas Jefferson, 1787.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https://founders.archives.gov/documents/Jefferson/01-11-02-0047</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GC.34 — Means of Political Participation</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Second Continental Congress, 1776.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Franchise</w:t>
      </w:r>
    </w:p>
    <w:p>
      <w:pPr>
        <w:spacing w:after="100"/>
      </w:pPr>
      <w:r>
        <w:rPr>
          <w:b w:val="false"/>
          <w:bCs w:val="false"/>
          <w:i w:val="false"/>
          <w:iCs w:val="false"/>
          <w:color w:val="1A1A1A"/>
          <w:sz w:val="21"/>
          <w:szCs w:val="21"/>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28"/>
          <w:szCs w:val="28"/>
          <w:caps w:val="false"/>
          <w:rFonts w:ascii="Calibri" w:cs="Calibri" w:eastAsia="Calibri" w:hAnsi="Calibri"/>
        </w:rPr>
        <w:t xml:space="preserve">Political Parties</w:t>
      </w:r>
    </w:p>
    <w:p>
      <w:pPr>
        <w:spacing w:after="100"/>
      </w:pPr>
      <w:r>
        <w:rPr>
          <w:b w:val="false"/>
          <w:bCs w:val="false"/>
          <w:i w:val="false"/>
          <w:iCs w:val="false"/>
          <w:color w:val="1A1A1A"/>
          <w:sz w:val="21"/>
          <w:szCs w:val="21"/>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28"/>
          <w:szCs w:val="28"/>
          <w:caps w:val="false"/>
          <w:rFonts w:ascii="Calibri" w:cs="Calibri" w:eastAsia="Calibri" w:hAnsi="Calibri"/>
        </w:rPr>
        <w:t xml:space="preserve">The Media &amp; Public Opinion</w:t>
      </w:r>
    </w:p>
    <w:p>
      <w:pPr>
        <w:spacing w:after="100"/>
      </w:pPr>
      <w:r>
        <w:rPr>
          <w:b w:val="false"/>
          <w:bCs w:val="false"/>
          <w:i w:val="false"/>
          <w:iCs w:val="false"/>
          <w:color w:val="1A1A1A"/>
          <w:sz w:val="21"/>
          <w:szCs w:val="21"/>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28"/>
          <w:szCs w:val="28"/>
          <w:caps w:val="false"/>
          <w:rFonts w:ascii="Calibri" w:cs="Calibri" w:eastAsia="Calibri" w:hAnsi="Calibri"/>
        </w:rPr>
        <w:t xml:space="preserve">The Non-Voter</w:t>
      </w:r>
    </w:p>
    <w:p>
      <w:pPr>
        <w:spacing w:after="100"/>
      </w:pPr>
      <w:r>
        <w:rPr>
          <w:b w:val="false"/>
          <w:bCs w:val="false"/>
          <w:i w:val="false"/>
          <w:iCs w:val="false"/>
          <w:color w:val="1A1A1A"/>
          <w:sz w:val="21"/>
          <w:szCs w:val="21"/>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recjxrgtrixhrnlllwyy3.png"/><Relationship Id="rId9" Type="http://schemas.openxmlformats.org/officeDocument/2006/relationships/image" Target="media/sairuqmlyiwhv0z0ln3g-.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2026-07-31T01:34:38.482Z</dcterms:created>
  <dcterms:modified xsi:type="dcterms:W3CDTF">2026-07-31T01:34:38.483Z</dcterms:modified>
</cp:coreProperties>
</file>

<file path=docProps/custom.xml><?xml version="1.0" encoding="utf-8"?>
<Properties xmlns="http://schemas.openxmlformats.org/officeDocument/2006/custom-properties" xmlns:vt="http://schemas.openxmlformats.org/officeDocument/2006/docPropsVTypes"/>
</file>