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1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120"/>
      </w:tblGrid>
      <w:tr>
        <w:trPr>
          <w:trHeight w:val="14720" w:hRule="atLeast"/>
        </w:trPr>
        <w:tc>
          <w:tcPr>
            <w:tcW w:type="dxa" w:w="11120"/>
            <w:tcBorders>
              <w:top w:val="none"/>
              <w:left w:val="none"/>
              <w:bottom w:val="none"/>
              <w:right w:val="none"/>
            </w:tcBorders>
            <w:shd w:fill="1B2A4A" w:color="auto" w:val="clear"/>
            <w:tcMar>
              <w:top w:type="dxa" w:w="340"/>
              <w:left w:type="dxa" w:w="520"/>
              <w:bottom w:type="dxa" w:w="340"/>
              <w:right w:type="dxa" w:w="520"/>
            </w:tcMar>
            <w:vAlign w:val="center"/>
          </w:tcPr>
          <w:p>
            <w:pPr>
              <w:spacing w:after="26"/>
              <w:jc w:val="center"/>
            </w:pPr>
            <w:r>
              <w:rPr>
                <w:b/>
                <w:bCs/>
                <w:i w:val="false"/>
                <w:iCs w:val="false"/>
                <w:color w:val="C89B3C"/>
                <w:sz w:val="30"/>
                <w:szCs w:val="30"/>
                <w:caps/>
                <w:rFonts w:ascii="Calibri" w:cs="Calibri" w:eastAsia="Calibri" w:hAnsi="Calibri"/>
              </w:rPr>
              <w:t xml:space="preserve">Government Hack™</w:t>
            </w:r>
          </w:p>
          <w:tbl>
            <w:tblPr>
              <w:tblW w:type="dxa" w:w="9920"/>
              <w:jc w:val="center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9920"/>
            </w:tblGrid>
            <w:tr>
              <w:tc>
                <w:tcPr>
                  <w:tcW w:type="dxa" w:w="9920"/>
                  <w:tcBorders>
                    <w:top w:val="none"/>
                    <w:left w:val="none"/>
                    <w:bottom w:val="none"/>
                    <w:right w:val="none"/>
                  </w:tcBorders>
                  <w:shd w:fill="B22234" w:color="auto" w:val="clear"/>
                  <w:tcMar>
                    <w:top w:type="dxa" w:w="90"/>
                    <w:left w:type="dxa" w:w="120"/>
                    <w:bottom w:type="dxa" w:w="90"/>
                    <w:right w:type="dxa" w:w="120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b/>
                      <w:bCs/>
                      <w:i w:val="false"/>
                      <w:iCs w:val="false"/>
                      <w:color w:val="FFFFFF"/>
                      <w:sz w:val="17"/>
                      <w:szCs w:val="17"/>
                      <w:caps/>
                      <w:rFonts w:ascii="Calibri" w:cs="Calibri" w:eastAsia="Calibri" w:hAnsi="Calibri"/>
                    </w:rPr>
                    <w:t xml:space="preserve">COURSE STANDARD  ·  PLATINUM EDITION</w:t>
                  </w:r>
                </w:p>
              </w:tc>
            </w:tr>
          </w:tbl>
          <w:p>
            <w:pPr>
              <w:spacing w:after="17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0"/>
                <w:szCs w:val="10"/>
                <w:caps w:val="false"/>
                <w:rFonts w:ascii="Calibri" w:cs="Calibri" w:eastAsia="Calibri" w:hAnsi="Calibri"/>
              </w:rPr>
            </w:r>
          </w:p>
          <w:p>
            <w:pPr>
              <w:spacing w:after="0"/>
              <w:jc w:val="center"/>
            </w:pPr>
            <w:r>
              <w:rPr>
                <w:b/>
                <w:bCs/>
                <w:i w:val="false"/>
                <w:iCs w:val="false"/>
                <w:color w:val="FFFFFF"/>
                <w:sz w:val="54"/>
                <w:szCs w:val="54"/>
                <w:caps/>
                <w:rFonts w:ascii="Calibri" w:cs="Calibri" w:eastAsia="Calibri" w:hAnsi="Calibri"/>
              </w:rPr>
              <w:t xml:space="preserve">FOUNDATIONS OF</w:t>
            </w:r>
          </w:p>
          <w:p>
            <w:pPr>
              <w:spacing w:after="20"/>
              <w:jc w:val="center"/>
            </w:pPr>
            <w:r>
              <w:rPr>
                <w:b/>
                <w:bCs/>
                <w:i w:val="false"/>
                <w:iCs w:val="false"/>
                <w:color w:val="C89B3C"/>
                <w:sz w:val="54"/>
                <w:szCs w:val="54"/>
                <w:caps/>
                <w:rFonts w:ascii="Calibri" w:cs="Calibri" w:eastAsia="Calibri" w:hAnsi="Calibri"/>
              </w:rPr>
              <w:t xml:space="preserve">CONSTITUTIONAL GOVERNMENT</w:t>
            </w:r>
          </w:p>
          <w:p>
            <w:pPr>
              <w:spacing w:after="60"/>
              <w:jc w:val="center"/>
            </w:pPr>
            <w:r>
              <w:rPr>
                <w:b/>
                <w:bCs/>
                <w:i w:val="false"/>
                <w:iCs w:val="false"/>
                <w:color w:val="FFFFFF"/>
                <w:sz w:val="30"/>
                <w:szCs w:val="30"/>
                <w:caps w:val="false"/>
                <w:rFonts w:ascii="Calibri" w:cs="Calibri" w:eastAsia="Calibri" w:hAnsi="Calibri"/>
              </w:rPr>
              <w:t xml:space="preserve">1776 · 1787 · 1791</w:t>
            </w:r>
          </w:p>
          <w:p>
            <w:pPr>
              <w:pBdr>
                <w:top w:val="single" w:color="B22234" w:sz="14" w:space="6"/>
                <w:bottom w:val="single" w:color="B22234" w:sz="14" w:space="6"/>
              </w:pBdr>
              <w:spacing w:after="40"/>
              <w:jc w:val="center"/>
            </w:pPr>
            <w:r>
              <w:rPr>
                <w:b/>
                <w:bCs/>
                <w:i w:val="false"/>
                <w:iCs w:val="false"/>
                <w:color w:val="FFFFFF"/>
                <w:sz w:val="20"/>
                <w:szCs w:val="20"/>
                <w:caps w:val="false"/>
                <w:rFonts w:ascii="Calibri" w:cs="Calibri" w:eastAsia="Calibri" w:hAnsi="Calibri"/>
              </w:rPr>
              <w:t xml:space="preserve">  Unit 1  ·  High-School U.S. Government &amp; Civics  ·  Standards-Aligned  </w:t>
            </w:r>
          </w:p>
          <w:p>
            <w:pPr>
              <w:spacing w:before="120" w:after="120"/>
              <w:jc w:val="center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0"/>
                <w:szCs w:val="10"/>
                <w:caps w:val="false"/>
                <w:rFonts w:ascii="Calibri" w:cs="Calibri" w:eastAsia="Calibri" w:hAnsi="Calibri"/>
              </w:rPr>
              <w:t xml:space="preserve"> </w:t>
            </w:r>
          </w:p>
          <w:tbl>
            <w:tblPr>
              <w:tblW w:type="dxa" w:w="9920"/>
              <w:jc w:val="center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9920"/>
            </w:tblGrid>
            <w:tr>
              <w:tc>
                <w:tcPr>
                  <w:tcW w:type="dxa" w:w="9920"/>
                  <w:tcBorders>
                    <w:top w:val="none"/>
                    <w:left w:val="none"/>
                    <w:bottom w:val="none"/>
                    <w:right w:val="none"/>
                  </w:tcBorders>
                  <w:shd w:fill="B22234" w:color="auto" w:val="clear"/>
                  <w:tcMar>
                    <w:top w:type="dxa" w:w="90"/>
                    <w:left w:type="dxa" w:w="120"/>
                    <w:bottom w:type="dxa" w:w="90"/>
                    <w:right w:type="dxa" w:w="120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b/>
                      <w:bCs/>
                      <w:i w:val="false"/>
                      <w:iCs w:val="false"/>
                      <w:color w:val="FFFFFF"/>
                      <w:sz w:val="34"/>
                      <w:szCs w:val="34"/>
                      <w:caps/>
                      <w:rFonts w:ascii="Calibri" w:cs="Calibri" w:eastAsia="Calibri" w:hAnsi="Calibri"/>
                    </w:rPr>
                    <w:t xml:space="preserve">ASSESSMENT BOOK</w:t>
                  </w:r>
                </w:p>
              </w:tc>
            </w:tr>
          </w:tbl>
          <w:p>
            <w:pPr>
              <w:spacing w:after="7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0"/>
                <w:szCs w:val="10"/>
                <w:caps w:val="false"/>
                <w:rFonts w:ascii="Calibri" w:cs="Calibri" w:eastAsia="Calibri" w:hAnsi="Calibri"/>
              </w:rPr>
            </w:r>
          </w:p>
          <w:tbl>
            <w:tblPr>
              <w:tblW w:type="dxa" w:w="11120"/>
              <w:jc w:val="center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686"/>
              <w:gridCol w:w="1686"/>
              <w:gridCol w:w="1686"/>
              <w:gridCol w:w="1686"/>
              <w:gridCol w:w="1686"/>
              <w:gridCol w:w="1686"/>
            </w:tblGrid>
            <w:tr>
              <w:tc>
                <w:tcPr>
                  <w:tcW w:type="dxa" w:w="1686"/>
                  <w:tcBorders>
                    <w:top w:val="single" w:color="C89B3C" w:sz="6" w:space="0"/>
                    <w:left w:val="single" w:color="C89B3C" w:sz="6" w:space="0"/>
                    <w:bottom w:val="single" w:color="C89B3C" w:sz="6" w:space="0"/>
                    <w:right w:val="single" w:color="C89B3C" w:sz="6" w:space="0"/>
                  </w:tcBorders>
                  <w:shd w:fill="1B2A4A" w:color="auto" w:val="clear"/>
                  <w:tcMar>
                    <w:top w:type="dxa" w:w="70"/>
                    <w:left w:type="dxa" w:w="40"/>
                    <w:bottom w:type="dxa" w:w="70"/>
                    <w:right w:type="dxa" w:w="4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b/>
                      <w:bCs/>
                      <w:i w:val="false"/>
                      <w:iCs w:val="false"/>
                      <w:color w:val="C89B3C"/>
                      <w:sz w:val="17"/>
                      <w:szCs w:val="17"/>
                      <w:caps/>
                      <w:rFonts w:ascii="Calibri" w:cs="Calibri" w:eastAsia="Calibri" w:hAnsi="Calibri"/>
                    </w:rPr>
                    <w:t xml:space="preserve">UDL 3.0</w:t>
                  </w:r>
                </w:p>
              </w:tc>
              <w:tc>
                <w:tcPr>
                  <w:tcW w:type="dxa" w:w="1686"/>
                  <w:tcBorders>
                    <w:top w:val="single" w:color="C89B3C" w:sz="6" w:space="0"/>
                    <w:left w:val="single" w:color="C89B3C" w:sz="6" w:space="0"/>
                    <w:bottom w:val="single" w:color="C89B3C" w:sz="6" w:space="0"/>
                    <w:right w:val="single" w:color="C89B3C" w:sz="6" w:space="0"/>
                  </w:tcBorders>
                  <w:shd w:fill="1B2A4A" w:color="auto" w:val="clear"/>
                  <w:tcMar>
                    <w:top w:type="dxa" w:w="70"/>
                    <w:left w:type="dxa" w:w="40"/>
                    <w:bottom w:type="dxa" w:w="70"/>
                    <w:right w:type="dxa" w:w="4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b/>
                      <w:bCs/>
                      <w:i w:val="false"/>
                      <w:iCs w:val="false"/>
                      <w:color w:val="C89B3C"/>
                      <w:sz w:val="17"/>
                      <w:szCs w:val="17"/>
                      <w:caps/>
                      <w:rFonts w:ascii="Calibri" w:cs="Calibri" w:eastAsia="Calibri" w:hAnsi="Calibri"/>
                    </w:rPr>
                    <w:t xml:space="preserve">MTSS</w:t>
                  </w:r>
                </w:p>
              </w:tc>
              <w:tc>
                <w:tcPr>
                  <w:tcW w:type="dxa" w:w="1686"/>
                  <w:tcBorders>
                    <w:top w:val="single" w:color="C89B3C" w:sz="6" w:space="0"/>
                    <w:left w:val="single" w:color="C89B3C" w:sz="6" w:space="0"/>
                    <w:bottom w:val="single" w:color="C89B3C" w:sz="6" w:space="0"/>
                    <w:right w:val="single" w:color="C89B3C" w:sz="6" w:space="0"/>
                  </w:tcBorders>
                  <w:shd w:fill="1B2A4A" w:color="auto" w:val="clear"/>
                  <w:tcMar>
                    <w:top w:type="dxa" w:w="70"/>
                    <w:left w:type="dxa" w:w="40"/>
                    <w:bottom w:type="dxa" w:w="70"/>
                    <w:right w:type="dxa" w:w="4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b/>
                      <w:bCs/>
                      <w:i w:val="false"/>
                      <w:iCs w:val="false"/>
                      <w:color w:val="C89B3C"/>
                      <w:sz w:val="17"/>
                      <w:szCs w:val="17"/>
                      <w:caps/>
                      <w:rFonts w:ascii="Calibri" w:cs="Calibri" w:eastAsia="Calibri" w:hAnsi="Calibri"/>
                    </w:rPr>
                    <w:t xml:space="preserve">CER</w:t>
                  </w:r>
                </w:p>
              </w:tc>
              <w:tc>
                <w:tcPr>
                  <w:tcW w:type="dxa" w:w="1686"/>
                  <w:tcBorders>
                    <w:top w:val="single" w:color="C89B3C" w:sz="6" w:space="0"/>
                    <w:left w:val="single" w:color="C89B3C" w:sz="6" w:space="0"/>
                    <w:bottom w:val="single" w:color="C89B3C" w:sz="6" w:space="0"/>
                    <w:right w:val="single" w:color="C89B3C" w:sz="6" w:space="0"/>
                  </w:tcBorders>
                  <w:shd w:fill="1B2A4A" w:color="auto" w:val="clear"/>
                  <w:tcMar>
                    <w:top w:type="dxa" w:w="70"/>
                    <w:left w:type="dxa" w:w="40"/>
                    <w:bottom w:type="dxa" w:w="70"/>
                    <w:right w:type="dxa" w:w="4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b/>
                      <w:bCs/>
                      <w:i w:val="false"/>
                      <w:iCs w:val="false"/>
                      <w:color w:val="C89B3C"/>
                      <w:sz w:val="17"/>
                      <w:szCs w:val="17"/>
                      <w:caps/>
                      <w:rFonts w:ascii="Calibri" w:cs="Calibri" w:eastAsia="Calibri" w:hAnsi="Calibri"/>
                    </w:rPr>
                    <w:t xml:space="preserve">Cornell</w:t>
                  </w:r>
                </w:p>
              </w:tc>
              <w:tc>
                <w:tcPr>
                  <w:tcW w:type="dxa" w:w="1686"/>
                  <w:tcBorders>
                    <w:top w:val="single" w:color="C89B3C" w:sz="6" w:space="0"/>
                    <w:left w:val="single" w:color="C89B3C" w:sz="6" w:space="0"/>
                    <w:bottom w:val="single" w:color="C89B3C" w:sz="6" w:space="0"/>
                    <w:right w:val="single" w:color="C89B3C" w:sz="6" w:space="0"/>
                  </w:tcBorders>
                  <w:shd w:fill="1B2A4A" w:color="auto" w:val="clear"/>
                  <w:tcMar>
                    <w:top w:type="dxa" w:w="70"/>
                    <w:left w:type="dxa" w:w="40"/>
                    <w:bottom w:type="dxa" w:w="70"/>
                    <w:right w:type="dxa" w:w="4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b/>
                      <w:bCs/>
                      <w:i w:val="false"/>
                      <w:iCs w:val="false"/>
                      <w:color w:val="C89B3C"/>
                      <w:sz w:val="17"/>
                      <w:szCs w:val="17"/>
                      <w:caps/>
                      <w:rFonts w:ascii="Calibri" w:cs="Calibri" w:eastAsia="Calibri" w:hAnsi="Calibri"/>
                    </w:rPr>
                    <w:t xml:space="preserve">HIPPO</w:t>
                  </w:r>
                </w:p>
              </w:tc>
              <w:tc>
                <w:tcPr>
                  <w:tcW w:type="dxa" w:w="1686"/>
                  <w:tcBorders>
                    <w:top w:val="single" w:color="C89B3C" w:sz="6" w:space="0"/>
                    <w:left w:val="single" w:color="C89B3C" w:sz="6" w:space="0"/>
                    <w:bottom w:val="single" w:color="C89B3C" w:sz="6" w:space="0"/>
                    <w:right w:val="single" w:color="C89B3C" w:sz="6" w:space="0"/>
                  </w:tcBorders>
                  <w:shd w:fill="1B2A4A" w:color="auto" w:val="clear"/>
                  <w:tcMar>
                    <w:top w:type="dxa" w:w="70"/>
                    <w:left w:type="dxa" w:w="40"/>
                    <w:bottom w:type="dxa" w:w="70"/>
                    <w:right w:type="dxa" w:w="4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b/>
                      <w:bCs/>
                      <w:i w:val="false"/>
                      <w:iCs w:val="false"/>
                      <w:color w:val="C89B3C"/>
                      <w:sz w:val="17"/>
                      <w:szCs w:val="17"/>
                      <w:caps/>
                      <w:rFonts w:ascii="Calibri" w:cs="Calibri" w:eastAsia="Calibri" w:hAnsi="Calibri"/>
                    </w:rPr>
                    <w:t xml:space="preserve">DOK</w:t>
                  </w:r>
                </w:p>
              </w:tc>
            </w:tr>
          </w:tbl>
          <w:p>
            <w:pPr>
              <w:spacing w:before="120" w:after="20"/>
              <w:jc w:val="center"/>
            </w:pPr>
            <w:r>
              <w:rPr>
                <w:b w:val="false"/>
                <w:bCs w:val="false"/>
                <w:i/>
                <w:iCs/>
                <w:color w:val="FFFFFF"/>
                <w:sz w:val="16"/>
                <w:szCs w:val="16"/>
                <w:caps w:val="false"/>
                <w:rFonts w:ascii="Calibri" w:cs="Calibri" w:eastAsia="Calibri" w:hAnsi="Calibri"/>
              </w:rPr>
              <w:t xml:space="preserve">Universal Design for Learning  ·  Multi-Tiered Supports  ·  Evidence-Based Writing</w:t>
            </w:r>
          </w:p>
          <w:p>
            <w:pPr>
              <w:spacing w:after="0"/>
              <w:jc w:val="center"/>
            </w:pPr>
            <w:r>
              <w:rPr>
                <w:b/>
                <w:bCs/>
                <w:i w:val="false"/>
                <w:iCs w:val="false"/>
                <w:color w:val="C89B3C"/>
                <w:sz w:val="18"/>
                <w:szCs w:val="18"/>
                <w:caps/>
                <w:rFonts w:ascii="Calibri" w:cs="Calibri" w:eastAsia="Calibri" w:hAnsi="Calibri"/>
              </w:rPr>
              <w:t xml:space="preserve">Teacher Edition</w:t>
            </w:r>
          </w:p>
          <w:p>
            <w:pPr>
              <w:spacing w:before="140" w:after="0"/>
              <w:jc w:val="center"/>
            </w:pPr>
            <w:r>
              <w:rPr>
                <w:b/>
                <w:bCs/>
                <w:i w:val="false"/>
                <w:iCs w:val="false"/>
                <w:color w:val="FFFFFF"/>
                <w:sz w:val="20"/>
                <w:szCs w:val="20"/>
                <w:caps w:val="false"/>
                <w:rFonts w:ascii="Calibri" w:cs="Calibri" w:eastAsia="Calibri" w:hAnsi="Calibri"/>
              </w:rPr>
              <w:t xml:space="preserve">TroopToTeacher Technologies LLC</w:t>
            </w:r>
          </w:p>
        </w:tc>
      </w:tr>
    </w:tbl>
    <w:p>
      <w:pPr>
        <w:sectPr>
          <w:pgSz w:w="12240" w:h="15840" w:orient="portrait"/>
          <w:pgMar w:top="560" w:right="560" w:bottom="560" w:left="560" w:header="708" w:footer="708" w:gutter="0"/>
          <w:pgNumType/>
          <w:docGrid w:linePitch="360"/>
        </w:sectPr>
      </w:pPr>
    </w:p>
    <w:tbl>
      <w:tblPr>
        <w:tblW w:type="dxa" w:w="9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</w:tblGrid>
      <w:tr>
        <w:trPr>
          <w:trHeight w:val="14720" w:hRule="atLeast"/>
        </w:trPr>
        <w:tc>
          <w:tcPr>
            <w:tcW w:type="dxa" w:w="900"/>
            <w:tcBorders>
              <w:top w:val="none"/>
              <w:left w:val="none"/>
              <w:bottom w:val="none"/>
              <w:right w:val="none"/>
            </w:tcBorders>
            <w:shd w:fill="1B2A4A" w:color="auto" w:val="clear"/>
            <w:tcMar>
              <w:top w:type="dxa" w:w="200"/>
              <w:left w:type="dxa" w:w="60"/>
              <w:bottom w:type="dxa" w:w="200"/>
              <w:right w:type="dxa" w:w="60"/>
            </w:tcMar>
            <w:textDirection w:val="btLr"/>
            <w:vAlign w:val="center"/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  <w:color w:val="C89B3C"/>
                <w:sz w:val="26"/>
                <w:szCs w:val="26"/>
                <w:caps/>
                <w:rFonts w:ascii="Calibri" w:cs="Calibri" w:eastAsia="Calibri" w:hAnsi="Calibri"/>
              </w:rPr>
              <w:t xml:space="preserve">Government Hack™   </w:t>
            </w:r>
            <w:r>
              <w:rPr>
                <w:b/>
                <w:bCs/>
                <w:i w:val="false"/>
                <w:iCs w:val="false"/>
                <w:color w:val="FFFFFF"/>
                <w:sz w:val="22"/>
                <w:szCs w:val="22"/>
                <w:caps w:val="false"/>
                <w:rFonts w:ascii="Calibri" w:cs="Calibri" w:eastAsia="Calibri" w:hAnsi="Calibri"/>
              </w:rPr>
              <w:t xml:space="preserve">Unit 1 — Foundations of Constitutional Government      </w:t>
            </w:r>
            <w:r>
              <w:rPr>
                <w:b/>
                <w:bCs/>
                <w:i w:val="false"/>
                <w:iCs w:val="false"/>
                <w:color w:val="C89B3C"/>
                <w:sz w:val="18"/>
                <w:szCs w:val="18"/>
                <w:caps w:val="false"/>
                <w:rFonts w:ascii="Calibri" w:cs="Calibri" w:eastAsia="Calibri" w:hAnsi="Calibri"/>
              </w:rPr>
              <w:t xml:space="preserve">ASSESSMENT BOOK   ·   TroopToTeacher Technologies LLC</w:t>
            </w:r>
          </w:p>
        </w:tc>
      </w:tr>
    </w:tbl>
    <w:p>
      <w:pPr>
        <w:spacing w:before="160" w:after="60"/>
        <w:jc w:val="left"/>
      </w:pPr>
      <w:r>
        <w:rPr>
          <w:b/>
          <w:bCs/>
          <w:i w:val="false"/>
          <w:iCs w:val="false"/>
          <w:color w:val="1B2A4A"/>
          <w:sz w:val="20"/>
          <w:szCs w:val="20"/>
          <w:caps w:val="false"/>
          <w:rFonts w:ascii="Calibri" w:cs="Calibri" w:eastAsia="Calibri" w:hAnsi="Calibri"/>
        </w:rPr>
        <w:t xml:space="preserve">SPINE</w:t>
      </w:r>
    </w:p>
    <w:p>
      <w:pPr>
        <w:spacing w:after="80"/>
        <w:jc w:val="left"/>
      </w:pPr>
      <w:r>
        <w:rPr>
          <w:b/>
          <w:bCs/>
          <w:i w:val="false"/>
          <w:iCs w:val="false"/>
          <w:color w:val="B22234"/>
          <w:sz w:val="19"/>
          <w:szCs w:val="19"/>
          <w:caps w:val="false"/>
          <w:rFonts w:ascii="Calibri" w:cs="Calibri" w:eastAsia="Calibri" w:hAnsi="Calibri"/>
        </w:rPr>
        <w:t xml:space="preserve">Saddle-stitch. </w:t>
      </w:r>
      <w:r>
        <w:rPr>
          <w:b w:val="false"/>
          <w:bCs w:val="false"/>
          <w:i w:val="false"/>
          <w:iCs w:val="false"/>
          <w:color w:val="1A1A1A"/>
          <w:sz w:val="19"/>
          <w:szCs w:val="19"/>
          <w:caps w:val="false"/>
          <w:rFonts w:ascii="Calibri" w:cs="Calibri" w:eastAsia="Calibri" w:hAnsi="Calibri"/>
        </w:rPr>
        <w:t xml:space="preserve">At 17 pages the folded spine is only ≈ 0.038 in (1 mm) — too thin to print spine text; bind saddle-stitch (no printed spine). To get a printable spine, perfect-bind at ≥ ~48 pages, or combine thin teacher books into one volume. The spine panel above is provided for when this title is perfect-bound.</w:t>
      </w:r>
    </w:p>
    <w:p>
      <w:pPr>
        <w:sectPr>
          <w:pgSz w:w="12240" w:h="15840" w:orient="portrait"/>
          <w:pgMar w:top="560" w:right="560" w:bottom="560" w:left="560" w:header="708" w:footer="708" w:gutter="0"/>
          <w:pgNumType/>
          <w:docGrid w:linePitch="360"/>
        </w:sectPr>
      </w:pPr>
    </w:p>
    <w:tbl>
      <w:tblPr>
        <w:tblW w:type="dxa" w:w="11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120"/>
      </w:tblGrid>
      <w:tr>
        <w:trPr>
          <w:trHeight w:val="2000" w:hRule="atLeast"/>
        </w:trPr>
        <w:tc>
          <w:tcPr>
            <w:tcW w:type="dxa" w:w="11120"/>
            <w:tcBorders>
              <w:top w:val="none"/>
              <w:left w:val="none"/>
              <w:bottom w:val="none"/>
              <w:right w:val="none"/>
            </w:tcBorders>
            <w:shd w:fill="1B2A4A" w:color="auto" w:val="clear"/>
            <w:tcMar>
              <w:top w:type="dxa" w:w="340"/>
              <w:left w:type="dxa" w:w="520"/>
              <w:bottom w:type="dxa" w:w="340"/>
              <w:right w:type="dxa" w:w="52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b/>
                <w:bCs/>
                <w:i w:val="false"/>
                <w:iCs w:val="false"/>
                <w:color w:val="C89B3C"/>
                <w:sz w:val="22"/>
                <w:szCs w:val="22"/>
                <w:caps/>
                <w:rFonts w:ascii="Calibri" w:cs="Calibri" w:eastAsia="Calibri" w:hAnsi="Calibri"/>
              </w:rPr>
              <w:t xml:space="preserve">Government Hack™</w:t>
            </w:r>
          </w:p>
          <w:p>
            <w:pPr>
              <w:spacing w:after="40"/>
              <w:jc w:val="center"/>
            </w:pPr>
            <w:r>
              <w:rPr>
                <w:b/>
                <w:bCs/>
                <w:i w:val="false"/>
                <w:iCs w:val="false"/>
                <w:color w:val="FFFFFF"/>
                <w:sz w:val="26"/>
                <w:szCs w:val="26"/>
                <w:caps w:val="false"/>
                <w:rFonts w:ascii="Calibri" w:cs="Calibri" w:eastAsia="Calibri" w:hAnsi="Calibri"/>
              </w:rPr>
              <w:t xml:space="preserve">Formative + summative, parallel forms, keyed and ready to reteach.</w:t>
            </w:r>
          </w:p>
          <w:p>
            <w:pPr>
              <w:spacing w:after="20"/>
              <w:jc w:val="center"/>
            </w:pPr>
            <w:r>
              <w:rPr>
                <w:b w:val="false"/>
                <w:bCs w:val="false"/>
                <w:i/>
                <w:iCs/>
                <w:color w:val="FFFFFF"/>
                <w:sz w:val="19"/>
                <w:szCs w:val="19"/>
                <w:caps w:val="false"/>
                <w:rFonts w:ascii="Calibri" w:cs="Calibri" w:eastAsia="Calibri" w:hAnsi="Calibri"/>
              </w:rPr>
              <w:t xml:space="preserve">Unit 1 — Foundations of Constitutional Government  ·  Teacher Edition</w:t>
            </w:r>
          </w:p>
        </w:tc>
      </w:tr>
    </w:tbl>
    <w:p>
      <w:pPr>
        <w:spacing w:before="200" w:after="30"/>
        <w:jc w:val="left"/>
      </w:pPr>
      <w:r>
        <w:rPr>
          <w:b/>
          <w:bCs/>
          <w:i w:val="false"/>
          <w:iCs w:val="false"/>
          <w:color w:val="1B2A4A"/>
          <w:sz w:val="22"/>
          <w:szCs w:val="22"/>
          <w:caps/>
          <w:rFonts w:ascii="Calibri" w:cs="Calibri" w:eastAsia="Calibri" w:hAnsi="Calibri"/>
        </w:rPr>
        <w:t xml:space="preserve">WHAT’S IN THE ASSESSMENT BOOK</w:t>
      </w:r>
    </w:p>
    <w:tbl>
      <w:tblPr>
        <w:tblW w:type="dxa" w:w="2400"/>
        <w:jc w:val="left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</w:tblGrid>
      <w:tr>
        <w:trPr>
          <w:trHeight w:val="28"/>
        </w:trPr>
        <w:tc>
          <w:tcPr>
            <w:tcW w:type="dxa" w:w="2400"/>
            <w:tcBorders>
              <w:top w:val="none"/>
              <w:left w:val="none"/>
              <w:bottom w:val="none"/>
              <w:right w:val="none"/>
            </w:tcBorders>
            <w:shd w:fill="B22234" w:color="auto" w:val="clea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</w:tc>
      </w:tr>
    </w:tbl>
    <w:p>
      <w:pPr>
        <w:spacing w:after="60"/>
        <w:jc w:val="left"/>
      </w:pPr>
      <w:r>
        <w:rPr>
          <w:b w:val="false"/>
          <w:bCs w:val="false"/>
          <w:i w:val="false"/>
          <w:iCs w:val="false"/>
          <w:color w:val="1A1A1A"/>
          <w:sz w:val="8"/>
          <w:szCs w:val="8"/>
          <w:caps w:val="false"/>
          <w:rFonts w:ascii="Calibri" w:cs="Calibri" w:eastAsia="Calibri" w:hAnsi="Calibri"/>
        </w:rPr>
      </w:r>
    </w:p>
    <w:p>
      <w:pPr>
        <w:spacing w:after="90"/>
        <w:jc w:val="left"/>
      </w:pPr>
      <w:r>
        <w:rPr>
          <w:b/>
          <w:bCs/>
          <w:i w:val="false"/>
          <w:iCs w:val="false"/>
          <w:color w:val="B22234"/>
          <w:sz w:val="20"/>
          <w:szCs w:val="20"/>
          <w:caps w:val="false"/>
          <w:rFonts w:ascii="Calibri" w:cs="Calibri" w:eastAsia="Calibri" w:hAnsi="Calibri"/>
        </w:rPr>
        <w:t xml:space="preserve">◆  </w:t>
      </w:r>
      <w:r>
        <w:rPr>
          <w:b/>
          <w:bCs/>
          <w:i w:val="false"/>
          <w:iCs w:val="false"/>
          <w:color w:val="1B2A4A"/>
          <w:sz w:val="20"/>
          <w:szCs w:val="20"/>
          <w:caps w:val="false"/>
          <w:rFonts w:ascii="Calibri" w:cs="Calibri" w:eastAsia="Calibri" w:hAnsi="Calibri"/>
        </w:rPr>
        <w:t xml:space="preserve">A checkpoint per standard.  </w:t>
      </w:r>
      <w:r>
        <w:rPr>
          <w:b w:val="false"/>
          <w:bCs w:val="false"/>
          <w:i w:val="false"/>
          <w:iCs w:val="false"/>
          <w:color w:val="1A1A1A"/>
          <w:sz w:val="19"/>
          <w:szCs w:val="19"/>
          <w:caps w:val="false"/>
          <w:rFonts w:ascii="Calibri" w:cs="Calibri" w:eastAsia="Calibri" w:hAnsi="Calibri"/>
        </w:rPr>
        <w:t xml:space="preserve">Short, DOK-balanced formative checks for progress monitoring across GC.01–GC.09.</w:t>
      </w:r>
    </w:p>
    <w:p>
      <w:pPr>
        <w:spacing w:after="90"/>
        <w:jc w:val="left"/>
      </w:pPr>
      <w:r>
        <w:rPr>
          <w:b/>
          <w:bCs/>
          <w:i w:val="false"/>
          <w:iCs w:val="false"/>
          <w:color w:val="B22234"/>
          <w:sz w:val="20"/>
          <w:szCs w:val="20"/>
          <w:caps w:val="false"/>
          <w:rFonts w:ascii="Calibri" w:cs="Calibri" w:eastAsia="Calibri" w:hAnsi="Calibri"/>
        </w:rPr>
        <w:t xml:space="preserve">◆  </w:t>
      </w:r>
      <w:r>
        <w:rPr>
          <w:b/>
          <w:bCs/>
          <w:i w:val="false"/>
          <w:iCs w:val="false"/>
          <w:color w:val="1B2A4A"/>
          <w:sz w:val="20"/>
          <w:szCs w:val="20"/>
          <w:caps w:val="false"/>
          <w:rFonts w:ascii="Calibri" w:cs="Calibri" w:eastAsia="Calibri" w:hAnsi="Calibri"/>
        </w:rPr>
        <w:t xml:space="preserve">Two parallel summative forms.  </w:t>
      </w:r>
      <w:r>
        <w:rPr>
          <w:b w:val="false"/>
          <w:bCs w:val="false"/>
          <w:i w:val="false"/>
          <w:iCs w:val="false"/>
          <w:color w:val="1A1A1A"/>
          <w:sz w:val="19"/>
          <w:szCs w:val="19"/>
          <w:caps w:val="false"/>
          <w:rFonts w:ascii="Calibri" w:cs="Calibri" w:eastAsia="Calibri" w:hAnsi="Calibri"/>
        </w:rPr>
        <w:t xml:space="preserve">Form A and Form B for pre/post or retakes, built for minimal overlap.</w:t>
      </w:r>
    </w:p>
    <w:p>
      <w:pPr>
        <w:spacing w:after="90"/>
        <w:jc w:val="left"/>
      </w:pPr>
      <w:r>
        <w:rPr>
          <w:b/>
          <w:bCs/>
          <w:i w:val="false"/>
          <w:iCs w:val="false"/>
          <w:color w:val="B22234"/>
          <w:sz w:val="20"/>
          <w:szCs w:val="20"/>
          <w:caps w:val="false"/>
          <w:rFonts w:ascii="Calibri" w:cs="Calibri" w:eastAsia="Calibri" w:hAnsi="Calibri"/>
        </w:rPr>
        <w:t xml:space="preserve">◆  </w:t>
      </w:r>
      <w:r>
        <w:rPr>
          <w:b/>
          <w:bCs/>
          <w:i w:val="false"/>
          <w:iCs w:val="false"/>
          <w:color w:val="1B2A4A"/>
          <w:sz w:val="20"/>
          <w:szCs w:val="20"/>
          <w:caps w:val="false"/>
          <w:rFonts w:ascii="Calibri" w:cs="Calibri" w:eastAsia="Calibri" w:hAnsi="Calibri"/>
        </w:rPr>
        <w:t xml:space="preserve">Keyed with item analysis.  </w:t>
      </w:r>
      <w:r>
        <w:rPr>
          <w:b w:val="false"/>
          <w:bCs w:val="false"/>
          <w:i w:val="false"/>
          <w:iCs w:val="false"/>
          <w:color w:val="1A1A1A"/>
          <w:sz w:val="19"/>
          <w:szCs w:val="19"/>
          <w:caps w:val="false"/>
          <w:rFonts w:ascii="Calibri" w:cs="Calibri" w:eastAsia="Calibri" w:hAnsi="Calibri"/>
        </w:rPr>
        <w:t xml:space="preserve">Correct answer, DOK, reporting category, and distractor-based routing — teacher-side only.</w:t>
      </w:r>
    </w:p>
    <w:p>
      <w:pPr>
        <w:spacing w:after="90"/>
        <w:jc w:val="left"/>
      </w:pPr>
      <w:r>
        <w:rPr>
          <w:b/>
          <w:bCs/>
          <w:i w:val="false"/>
          <w:iCs w:val="false"/>
          <w:color w:val="B22234"/>
          <w:sz w:val="20"/>
          <w:szCs w:val="20"/>
          <w:caps w:val="false"/>
          <w:rFonts w:ascii="Calibri" w:cs="Calibri" w:eastAsia="Calibri" w:hAnsi="Calibri"/>
        </w:rPr>
        <w:t xml:space="preserve">◆  </w:t>
      </w:r>
      <w:r>
        <w:rPr>
          <w:b/>
          <w:bCs/>
          <w:i w:val="false"/>
          <w:iCs w:val="false"/>
          <w:color w:val="1B2A4A"/>
          <w:sz w:val="20"/>
          <w:szCs w:val="20"/>
          <w:caps w:val="false"/>
          <w:rFonts w:ascii="Calibri" w:cs="Calibri" w:eastAsia="Calibri" w:hAnsi="Calibri"/>
        </w:rPr>
        <w:t xml:space="preserve">Reteach built in.  </w:t>
      </w:r>
      <w:r>
        <w:rPr>
          <w:b w:val="false"/>
          <w:bCs w:val="false"/>
          <w:i w:val="false"/>
          <w:iCs w:val="false"/>
          <w:color w:val="1A1A1A"/>
          <w:sz w:val="19"/>
          <w:szCs w:val="19"/>
          <w:caps w:val="false"/>
          <w:rFonts w:ascii="Calibri" w:cs="Calibri" w:eastAsia="Calibri" w:hAnsi="Calibri"/>
        </w:rPr>
        <w:t xml:space="preserve">Each item maps to a “What’s Next” move tied to the workbook’s Cornell notes and Guided Support.</w:t>
      </w:r>
    </w:p>
    <w:p>
      <w:pPr>
        <w:spacing w:after="90"/>
        <w:jc w:val="left"/>
      </w:pPr>
      <w:r>
        <w:rPr>
          <w:b/>
          <w:bCs/>
          <w:i w:val="false"/>
          <w:iCs w:val="false"/>
          <w:color w:val="B22234"/>
          <w:sz w:val="20"/>
          <w:szCs w:val="20"/>
          <w:caps w:val="false"/>
          <w:rFonts w:ascii="Calibri" w:cs="Calibri" w:eastAsia="Calibri" w:hAnsi="Calibri"/>
        </w:rPr>
        <w:t xml:space="preserve">◆  </w:t>
      </w:r>
      <w:r>
        <w:rPr>
          <w:b/>
          <w:bCs/>
          <w:i w:val="false"/>
          <w:iCs w:val="false"/>
          <w:color w:val="1B2A4A"/>
          <w:sz w:val="20"/>
          <w:szCs w:val="20"/>
          <w:caps w:val="false"/>
          <w:rFonts w:ascii="Calibri" w:cs="Calibri" w:eastAsia="Calibri" w:hAnsi="Calibri"/>
        </w:rPr>
        <w:t xml:space="preserve">From a real item bank.  </w:t>
      </w:r>
      <w:r>
        <w:rPr>
          <w:b w:val="false"/>
          <w:bCs w:val="false"/>
          <w:i w:val="false"/>
          <w:iCs w:val="false"/>
          <w:color w:val="1A1A1A"/>
          <w:sz w:val="19"/>
          <w:szCs w:val="19"/>
          <w:caps w:val="false"/>
          <w:rFonts w:ascii="Calibri" w:cs="Calibri" w:eastAsia="Calibri" w:hAnsi="Calibri"/>
        </w:rPr>
        <w:t xml:space="preserve">Every item is pulled from the Government Hack question bank; positions de-biased and synced across surfaces.</w:t>
      </w:r>
    </w:p>
    <w:p>
      <w:pPr>
        <w:spacing w:after="90"/>
        <w:jc w:val="left"/>
      </w:pPr>
      <w:r>
        <w:rPr>
          <w:b/>
          <w:bCs/>
          <w:i w:val="false"/>
          <w:iCs w:val="false"/>
          <w:color w:val="B22234"/>
          <w:sz w:val="20"/>
          <w:szCs w:val="20"/>
          <w:caps w:val="false"/>
          <w:rFonts w:ascii="Calibri" w:cs="Calibri" w:eastAsia="Calibri" w:hAnsi="Calibri"/>
        </w:rPr>
        <w:t xml:space="preserve">◆  </w:t>
      </w:r>
      <w:r>
        <w:rPr>
          <w:b/>
          <w:bCs/>
          <w:i w:val="false"/>
          <w:iCs w:val="false"/>
          <w:color w:val="1B2A4A"/>
          <w:sz w:val="20"/>
          <w:szCs w:val="20"/>
          <w:caps w:val="false"/>
          <w:rFonts w:ascii="Calibri" w:cs="Calibri" w:eastAsia="Calibri" w:hAnsi="Calibri"/>
        </w:rPr>
        <w:t xml:space="preserve">Honest calibration status.  </w:t>
      </w:r>
      <w:r>
        <w:rPr>
          <w:b w:val="false"/>
          <w:bCs w:val="false"/>
          <w:i w:val="false"/>
          <w:iCs w:val="false"/>
          <w:color w:val="1A1A1A"/>
          <w:sz w:val="19"/>
          <w:szCs w:val="19"/>
          <w:caps w:val="false"/>
          <w:rFonts w:ascii="Calibri" w:cs="Calibri" w:eastAsia="Calibri" w:hAnsi="Calibri"/>
        </w:rPr>
        <w:t xml:space="preserve">Items are classroom-formative and pre-field-test — the first cycle of use is what calibrates them.</w:t>
      </w:r>
    </w:p>
    <w:p>
      <w:pPr>
        <w:spacing w:before="120" w:after="30"/>
        <w:jc w:val="left"/>
      </w:pPr>
      <w:r>
        <w:rPr>
          <w:b/>
          <w:bCs/>
          <w:i w:val="false"/>
          <w:iCs w:val="false"/>
          <w:color w:val="1B2A4A"/>
          <w:sz w:val="21"/>
          <w:szCs w:val="21"/>
          <w:caps/>
          <w:rFonts w:ascii="Calibri" w:cs="Calibri" w:eastAsia="Calibri" w:hAnsi="Calibri"/>
        </w:rPr>
        <w:t xml:space="preserve">INSIDE THIS UNIT — each standard</w:t>
      </w:r>
    </w:p>
    <w:tbl>
      <w:tblPr>
        <w:tblW w:type="dxa" w:w="2400"/>
        <w:jc w:val="left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</w:tblGrid>
      <w:tr>
        <w:trPr>
          <w:trHeight w:val="28"/>
        </w:trPr>
        <w:tc>
          <w:tcPr>
            <w:tcW w:type="dxa" w:w="2400"/>
            <w:tcBorders>
              <w:top w:val="none"/>
              <w:left w:val="none"/>
              <w:bottom w:val="none"/>
              <w:right w:val="none"/>
            </w:tcBorders>
            <w:shd w:fill="B22234" w:color="auto" w:val="clea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</w:tc>
      </w:tr>
    </w:tbl>
    <w:p>
      <w:pPr>
        <w:spacing w:after="50"/>
        <w:jc w:val="left"/>
      </w:pPr>
      <w:r>
        <w:rPr>
          <w:b w:val="false"/>
          <w:bCs w:val="false"/>
          <w:i w:val="false"/>
          <w:iCs w:val="false"/>
          <w:color w:val="1A1A1A"/>
          <w:sz w:val="8"/>
          <w:szCs w:val="8"/>
          <w:caps w:val="false"/>
          <w:rFonts w:ascii="Calibri" w:cs="Calibri" w:eastAsia="Calibri" w:hAnsi="Calibri"/>
        </w:rPr>
      </w:r>
    </w:p>
    <w:p>
      <w:pPr>
        <w:spacing w:after="34"/>
        <w:jc w:val="left"/>
      </w:pPr>
      <w:r>
        <w:rPr>
          <w:b/>
          <w:bCs/>
          <w:i w:val="false"/>
          <w:iCs w:val="false"/>
          <w:color w:val="B22234"/>
          <w:sz w:val="19"/>
          <w:szCs w:val="19"/>
          <w:caps w:val="false"/>
          <w:rFonts w:ascii="Calibri" w:cs="Calibri" w:eastAsia="Calibri" w:hAnsi="Calibri"/>
        </w:rPr>
        <w:t xml:space="preserve">GC.01  </w:t>
      </w:r>
      <w:r>
        <w:rPr>
          <w:b w:val="false"/>
          <w:bCs w:val="false"/>
          <w:i w:val="false"/>
          <w:iCs w:val="false"/>
          <w:color w:val="1A1A1A"/>
          <w:sz w:val="19"/>
          <w:szCs w:val="19"/>
          <w:caps w:val="false"/>
          <w:rFonts w:ascii="Calibri" w:cs="Calibri" w:eastAsia="Calibri" w:hAnsi="Calibri"/>
        </w:rPr>
        <w:t xml:space="preserve">Enlightenment Roots of American Government</w:t>
      </w:r>
    </w:p>
    <w:p>
      <w:pPr>
        <w:spacing w:after="34"/>
        <w:jc w:val="left"/>
      </w:pPr>
      <w:r>
        <w:rPr>
          <w:b/>
          <w:bCs/>
          <w:i w:val="false"/>
          <w:iCs w:val="false"/>
          <w:color w:val="B22234"/>
          <w:sz w:val="19"/>
          <w:szCs w:val="19"/>
          <w:caps w:val="false"/>
          <w:rFonts w:ascii="Calibri" w:cs="Calibri" w:eastAsia="Calibri" w:hAnsi="Calibri"/>
        </w:rPr>
        <w:t xml:space="preserve">GC.02  </w:t>
      </w:r>
      <w:r>
        <w:rPr>
          <w:b w:val="false"/>
          <w:bCs w:val="false"/>
          <w:i w:val="false"/>
          <w:iCs w:val="false"/>
          <w:color w:val="1A1A1A"/>
          <w:sz w:val="19"/>
          <w:szCs w:val="19"/>
          <w:caps w:val="false"/>
          <w:rFonts w:ascii="Calibri" w:cs="Calibri" w:eastAsia="Calibri" w:hAnsi="Calibri"/>
        </w:rPr>
        <w:t xml:space="preserve">The Declaration of Independence</w:t>
      </w:r>
    </w:p>
    <w:p>
      <w:pPr>
        <w:spacing w:after="34"/>
        <w:jc w:val="left"/>
      </w:pPr>
      <w:r>
        <w:rPr>
          <w:b/>
          <w:bCs/>
          <w:i w:val="false"/>
          <w:iCs w:val="false"/>
          <w:color w:val="B22234"/>
          <w:sz w:val="19"/>
          <w:szCs w:val="19"/>
          <w:caps w:val="false"/>
          <w:rFonts w:ascii="Calibri" w:cs="Calibri" w:eastAsia="Calibri" w:hAnsi="Calibri"/>
        </w:rPr>
        <w:t xml:space="preserve">GC.03  </w:t>
      </w:r>
      <w:r>
        <w:rPr>
          <w:b w:val="false"/>
          <w:bCs w:val="false"/>
          <w:i w:val="false"/>
          <w:iCs w:val="false"/>
          <w:color w:val="1A1A1A"/>
          <w:sz w:val="19"/>
          <w:szCs w:val="19"/>
          <w:caps w:val="false"/>
          <w:rFonts w:ascii="Calibri" w:cs="Calibri" w:eastAsia="Calibri" w:hAnsi="Calibri"/>
        </w:rPr>
        <w:t xml:space="preserve">The Articles of Confederation</w:t>
      </w:r>
    </w:p>
    <w:p>
      <w:pPr>
        <w:spacing w:after="34"/>
        <w:jc w:val="left"/>
      </w:pPr>
      <w:r>
        <w:rPr>
          <w:b/>
          <w:bCs/>
          <w:i w:val="false"/>
          <w:iCs w:val="false"/>
          <w:color w:val="B22234"/>
          <w:sz w:val="19"/>
          <w:szCs w:val="19"/>
          <w:caps w:val="false"/>
          <w:rFonts w:ascii="Calibri" w:cs="Calibri" w:eastAsia="Calibri" w:hAnsi="Calibri"/>
        </w:rPr>
        <w:t xml:space="preserve">GC.04  </w:t>
      </w:r>
      <w:r>
        <w:rPr>
          <w:b w:val="false"/>
          <w:bCs w:val="false"/>
          <w:i w:val="false"/>
          <w:iCs w:val="false"/>
          <w:color w:val="1A1A1A"/>
          <w:sz w:val="19"/>
          <w:szCs w:val="19"/>
          <w:caps w:val="false"/>
          <w:rFonts w:ascii="Calibri" w:cs="Calibri" w:eastAsia="Calibri" w:hAnsi="Calibri"/>
        </w:rPr>
        <w:t xml:space="preserve">The Constitutional Convention &amp; Ratification</w:t>
      </w:r>
    </w:p>
    <w:p>
      <w:pPr>
        <w:spacing w:after="34"/>
        <w:jc w:val="left"/>
      </w:pPr>
      <w:r>
        <w:rPr>
          <w:b/>
          <w:bCs/>
          <w:i w:val="false"/>
          <w:iCs w:val="false"/>
          <w:color w:val="B22234"/>
          <w:sz w:val="19"/>
          <w:szCs w:val="19"/>
          <w:caps w:val="false"/>
          <w:rFonts w:ascii="Calibri" w:cs="Calibri" w:eastAsia="Calibri" w:hAnsi="Calibri"/>
        </w:rPr>
        <w:t xml:space="preserve">GC.05  </w:t>
      </w:r>
      <w:r>
        <w:rPr>
          <w:b w:val="false"/>
          <w:bCs w:val="false"/>
          <w:i w:val="false"/>
          <w:iCs w:val="false"/>
          <w:color w:val="1A1A1A"/>
          <w:sz w:val="19"/>
          <w:szCs w:val="19"/>
          <w:caps w:val="false"/>
          <w:rFonts w:ascii="Calibri" w:cs="Calibri" w:eastAsia="Calibri" w:hAnsi="Calibri"/>
        </w:rPr>
        <w:t xml:space="preserve">The Preamble: Purposes of Government</w:t>
      </w:r>
    </w:p>
    <w:p>
      <w:pPr>
        <w:spacing w:after="34"/>
        <w:jc w:val="left"/>
      </w:pPr>
      <w:r>
        <w:rPr>
          <w:b/>
          <w:bCs/>
          <w:i w:val="false"/>
          <w:iCs w:val="false"/>
          <w:color w:val="B22234"/>
          <w:sz w:val="19"/>
          <w:szCs w:val="19"/>
          <w:caps w:val="false"/>
          <w:rFonts w:ascii="Calibri" w:cs="Calibri" w:eastAsia="Calibri" w:hAnsi="Calibri"/>
        </w:rPr>
        <w:t xml:space="preserve">GC.06  </w:t>
      </w:r>
      <w:r>
        <w:rPr>
          <w:b w:val="false"/>
          <w:bCs w:val="false"/>
          <w:i w:val="false"/>
          <w:iCs w:val="false"/>
          <w:color w:val="1A1A1A"/>
          <w:sz w:val="19"/>
          <w:szCs w:val="19"/>
          <w:caps w:val="false"/>
          <w:rFonts w:ascii="Calibri" w:cs="Calibri" w:eastAsia="Calibri" w:hAnsi="Calibri"/>
        </w:rPr>
        <w:t xml:space="preserve">Principles of Limited Government</w:t>
      </w:r>
    </w:p>
    <w:p>
      <w:pPr>
        <w:spacing w:after="34"/>
        <w:jc w:val="left"/>
      </w:pPr>
      <w:r>
        <w:rPr>
          <w:b/>
          <w:bCs/>
          <w:i w:val="false"/>
          <w:iCs w:val="false"/>
          <w:color w:val="B22234"/>
          <w:sz w:val="19"/>
          <w:szCs w:val="19"/>
          <w:caps w:val="false"/>
          <w:rFonts w:ascii="Calibri" w:cs="Calibri" w:eastAsia="Calibri" w:hAnsi="Calibri"/>
        </w:rPr>
        <w:t xml:space="preserve">GC.07  </w:t>
      </w:r>
      <w:r>
        <w:rPr>
          <w:b w:val="false"/>
          <w:bCs w:val="false"/>
          <w:i w:val="false"/>
          <w:iCs w:val="false"/>
          <w:color w:val="1A1A1A"/>
          <w:sz w:val="19"/>
          <w:szCs w:val="19"/>
          <w:caps w:val="false"/>
          <w:rFonts w:ascii="Calibri" w:cs="Calibri" w:eastAsia="Calibri" w:hAnsi="Calibri"/>
        </w:rPr>
        <w:t xml:space="preserve">Structure of the Constitution &amp; How to Amend It</w:t>
      </w:r>
    </w:p>
    <w:p>
      <w:pPr>
        <w:spacing w:after="34"/>
        <w:jc w:val="left"/>
      </w:pPr>
      <w:r>
        <w:rPr>
          <w:b/>
          <w:bCs/>
          <w:i w:val="false"/>
          <w:iCs w:val="false"/>
          <w:color w:val="B22234"/>
          <w:sz w:val="19"/>
          <w:szCs w:val="19"/>
          <w:caps w:val="false"/>
          <w:rFonts w:ascii="Calibri" w:cs="Calibri" w:eastAsia="Calibri" w:hAnsi="Calibri"/>
        </w:rPr>
        <w:t xml:space="preserve">GC.08  </w:t>
      </w:r>
      <w:r>
        <w:rPr>
          <w:b w:val="false"/>
          <w:bCs w:val="false"/>
          <w:i w:val="false"/>
          <w:iCs w:val="false"/>
          <w:color w:val="1A1A1A"/>
          <w:sz w:val="19"/>
          <w:szCs w:val="19"/>
          <w:caps w:val="false"/>
          <w:rFonts w:ascii="Calibri" w:cs="Calibri" w:eastAsia="Calibri" w:hAnsi="Calibri"/>
        </w:rPr>
        <w:t xml:space="preserve">The Bill of Rights</w:t>
      </w:r>
    </w:p>
    <w:p>
      <w:pPr>
        <w:spacing w:after="34"/>
        <w:jc w:val="left"/>
      </w:pPr>
      <w:r>
        <w:rPr>
          <w:b/>
          <w:bCs/>
          <w:i w:val="false"/>
          <w:iCs w:val="false"/>
          <w:color w:val="B22234"/>
          <w:sz w:val="19"/>
          <w:szCs w:val="19"/>
          <w:caps w:val="false"/>
          <w:rFonts w:ascii="Calibri" w:cs="Calibri" w:eastAsia="Calibri" w:hAnsi="Calibri"/>
        </w:rPr>
        <w:t xml:space="preserve">GC.09  </w:t>
      </w:r>
      <w:r>
        <w:rPr>
          <w:b w:val="false"/>
          <w:bCs w:val="false"/>
          <w:i w:val="false"/>
          <w:iCs w:val="false"/>
          <w:color w:val="1A1A1A"/>
          <w:sz w:val="19"/>
          <w:szCs w:val="19"/>
          <w:caps w:val="false"/>
          <w:rFonts w:ascii="Calibri" w:cs="Calibri" w:eastAsia="Calibri" w:hAnsi="Calibri"/>
        </w:rPr>
        <w:t xml:space="preserve">Republic and Democracy</w:t>
      </w:r>
    </w:p>
    <w:p>
      <w:pPr>
        <w:spacing w:before="120" w:after="120"/>
        <w:jc w:val="left"/>
      </w:pPr>
      <w:r>
        <w:rPr>
          <w:b w:val="false"/>
          <w:bCs w:val="false"/>
          <w:i/>
          <w:iCs/>
          <w:color w:val="1A1A1A"/>
          <w:sz w:val="19"/>
          <w:szCs w:val="19"/>
          <w:caps w:val="false"/>
          <w:rFonts w:ascii="Calibri" w:cs="Calibri" w:eastAsia="Calibri" w:hAnsi="Calibri"/>
        </w:rPr>
        <w:t xml:space="preserve">Part of the Government Hack™ Course Standard series — a complete, standards-aligned system: Student Workbook · Teacher Edition · Student &amp; Teacher Slide Decks · Graphic Organizer Toolkit · Unit Assessment Book.</w:t>
      </w:r>
    </w:p>
    <w:tbl>
      <w:tblPr>
        <w:tblW w:type="dxa" w:w="11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20"/>
        <w:gridCol w:w="3400"/>
      </w:tblGrid>
      <w:tr>
        <w:tc>
          <w:tcPr>
            <w:tcW w:type="dxa" w:w="7720"/>
            <w:tcBorders>
              <w:top w:val="none"/>
              <w:left w:val="none"/>
              <w:bottom w:val="none"/>
              <w:righ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bottom"/>
          </w:tcPr>
          <w:p>
            <w:pPr>
              <w:spacing w:after="24"/>
              <w:jc w:val="left"/>
            </w:pPr>
            <w:r>
              <w:rPr>
                <w:b/>
                <w:bCs/>
                <w:i w:val="false"/>
                <w:iCs w:val="false"/>
                <w:color w:val="1B2A4A"/>
                <w:sz w:val="20"/>
                <w:szCs w:val="20"/>
                <w:caps w:val="false"/>
                <w:rFonts w:ascii="Calibri" w:cs="Calibri" w:eastAsia="Calibri" w:hAnsi="Calibri"/>
              </w:rPr>
              <w:t xml:space="preserve">TroopToTeacher Technologies LLC</w:t>
            </w:r>
          </w:p>
          <w:p>
            <w:pPr>
              <w:spacing w:after="24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caps w:val="false"/>
                <w:rFonts w:ascii="Calibri" w:cs="Calibri" w:eastAsia="Calibri" w:hAnsi="Calibri"/>
              </w:rPr>
              <w:t xml:space="preserve">Government Hack™  ·  Course Standard (Platinum) Edition  ·  Teacher Edition</w:t>
            </w:r>
          </w:p>
          <w:p>
            <w:pPr>
              <w:spacing w:after="2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6B7280"/>
                <w:sz w:val="15"/>
                <w:szCs w:val="15"/>
                <w:caps w:val="false"/>
                <w:rFonts w:ascii="Calibri" w:cs="Calibri" w:eastAsia="Calibri" w:hAnsi="Calibri"/>
              </w:rPr>
              <w:t xml:space="preserve">© 2026 TroopToTeacher Technologies LLC. All rights reserved. Government Hack™ is a trademark of TroopToTeacher Technologies LLC. No part of this book may be reproduced without written permission, except as licensed for classroom use.</w:t>
            </w:r>
          </w:p>
          <w:p>
            <w:pPr>
              <w:spacing w:after="0"/>
              <w:jc w:val="left"/>
            </w:pPr>
            <w:r>
              <w:rPr>
                <w:b/>
                <w:bCs/>
                <w:i w:val="false"/>
                <w:iCs w:val="false"/>
                <w:color w:val="1B2A4A"/>
                <w:sz w:val="17"/>
                <w:szCs w:val="17"/>
                <w:caps w:val="false"/>
                <w:rFonts w:ascii="Calibri" w:cs="Calibri" w:eastAsia="Calibri" w:hAnsi="Calibri"/>
              </w:rPr>
              <w:t xml:space="preserve">www.trooptoteacher.com</w:t>
            </w:r>
            <w:r>
              <w:rPr>
                <w:b w:val="false"/>
                <w:bCs w:val="false"/>
                <w:i w:val="false"/>
                <w:iCs w:val="false"/>
                <w:color w:val="6B7280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  ·   Printed in the U.S.A.   ·   First Edition</w:t>
            </w:r>
          </w:p>
        </w:tc>
        <w:tc>
          <w:tcPr>
            <w:tcW w:type="dxa" w:w="3400"/>
            <w:tcBorders>
              <w:top w:val="none"/>
              <w:left w:val="none"/>
              <w:bottom w:val="none"/>
              <w:righ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bottom"/>
          </w:tcPr>
          <w:tbl>
            <w:tblPr>
              <w:tblW w:type="dxa" w:w="32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200"/>
            </w:tblGrid>
            <w:tr>
              <w:trPr>
                <w:trHeight w:val="1500" w:hRule="atLeast"/>
              </w:trPr>
              <w:tc>
                <w:tcPr>
                  <w:tcW w:type="dxa" w:w="3200"/>
                  <w:tcBorders>
                    <w:top w:val="single" w:color="1A1A1A" w:sz="6" w:space="0"/>
                    <w:left w:val="single" w:color="1A1A1A" w:sz="6" w:space="0"/>
                    <w:bottom w:val="single" w:color="1A1A1A" w:sz="6" w:space="0"/>
                    <w:right w:val="single" w:color="1A1A1A" w:sz="6" w:space="0"/>
                  </w:tcBorders>
                  <w:vAlign w:val="center"/>
                </w:tcPr>
                <w:p>
                  <w:pPr>
                    <w:spacing w:after="10"/>
                    <w:jc w:val="center"/>
                  </w:pPr>
                  <w:r>
                    <w:rPr>
                      <w:b/>
                      <w:bCs/>
                      <w:i w:val="false"/>
                      <w:iCs w:val="false"/>
                      <w:color w:val="6B7280"/>
                      <w:sz w:val="18"/>
                      <w:szCs w:val="18"/>
                      <w:caps w:val="false"/>
                      <w:rFonts w:ascii="Calibri" w:cs="Calibri" w:eastAsia="Calibri" w:hAnsi="Calibri"/>
                    </w:rPr>
                    <w:t xml:space="preserve">ISBN barcode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6B7280"/>
                      <w:sz w:val="16"/>
                      <w:szCs w:val="16"/>
                      <w:caps w:val="false"/>
                      <w:rFonts w:ascii="Calibri" w:cs="Calibri" w:eastAsia="Calibri" w:hAnsi="Calibri"/>
                    </w:rPr>
                    <w:t xml:space="preserve">ISBN 978-X-XXXXX-XXX-X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b w:val="false"/>
                      <w:bCs w:val="false"/>
                      <w:i/>
                      <w:iCs/>
                      <w:color w:val="6B7280"/>
                      <w:sz w:val="14"/>
                      <w:szCs w:val="14"/>
                      <w:caps w:val="false"/>
                      <w:rFonts w:ascii="Calibri" w:cs="Calibri" w:eastAsia="Calibri" w:hAnsi="Calibri"/>
                    </w:rPr>
                    <w:t xml:space="preserve">placeholder — replace at print</w:t>
                  </w:r>
                </w:p>
              </w:tc>
            </w:tr>
          </w:tbl>
          <w:p/>
        </w:tc>
      </w:tr>
    </w:tbl>
    <w:p>
      <w:pPr>
        <w:sectPr>
          <w:pgSz w:w="12240" w:h="15840" w:orient="portrait"/>
          <w:pgMar w:top="560" w:right="560" w:bottom="560" w:left="560" w:header="708" w:footer="708" w:gutter="0"/>
          <w:pgNumType/>
          <w:docGrid w:linePitch="360"/>
        </w:sectPr>
      </w:pPr>
    </w:p>
    <w:p>
      <w:pPr>
        <w:spacing w:before="100" w:after="40"/>
        <w:jc w:val="left"/>
      </w:pPr>
      <w:r>
        <w:rPr>
          <w:b/>
          <w:bCs/>
          <w:i w:val="false"/>
          <w:iCs w:val="false"/>
          <w:color w:val="1B2A4A"/>
          <w:sz w:val="30"/>
          <w:szCs w:val="30"/>
          <w:caps/>
          <w:rFonts w:ascii="Calibri" w:cs="Calibri" w:eastAsia="Calibri" w:hAnsi="Calibri"/>
        </w:rPr>
        <w:t xml:space="preserve">PRINT &amp; ONLINE-LISTING SPEC</w:t>
      </w:r>
    </w:p>
    <w:tbl>
      <w:tblPr>
        <w:tblW w:type="dxa" w:w="11120"/>
        <w:jc w:val="left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120"/>
      </w:tblGrid>
      <w:tr>
        <w:trPr>
          <w:trHeight w:val="20"/>
        </w:trPr>
        <w:tc>
          <w:tcPr>
            <w:tcW w:type="dxa" w:w="11120"/>
            <w:tcBorders>
              <w:top w:val="none"/>
              <w:left w:val="none"/>
              <w:bottom w:val="none"/>
              <w:right w:val="none"/>
            </w:tcBorders>
            <w:shd w:fill="C89B3C" w:color="auto" w:val="clea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</w:tc>
      </w:tr>
    </w:tbl>
    <w:p>
      <w:pPr>
        <w:spacing w:before="100" w:after="120"/>
        <w:jc w:val="left"/>
      </w:pPr>
      <w:r>
        <w:rPr>
          <w:b w:val="false"/>
          <w:bCs w:val="false"/>
          <w:i/>
          <w:iCs/>
          <w:color w:val="6B7280"/>
          <w:sz w:val="19"/>
          <w:szCs w:val="19"/>
          <w:caps w:val="false"/>
          <w:rFonts w:ascii="Calibri" w:cs="Calibri" w:eastAsia="Calibri" w:hAnsi="Calibri"/>
        </w:rPr>
        <w:t xml:space="preserve">An internal handoff sheet for your printer and your storefront listing — not part of the printed book.</w:t>
      </w:r>
    </w:p>
    <w:tbl>
      <w:tblPr>
        <w:tblW w:type="dxa" w:w="11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8520"/>
      </w:tblGrid>
      <w:tr>
        <w:tc>
          <w:tcPr>
            <w:tcW w:type="dxa" w:w="2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i w:val="false"/>
                <w:iCs w:val="false"/>
                <w:color w:val="1B2A4A"/>
                <w:sz w:val="19"/>
                <w:szCs w:val="19"/>
                <w:caps w:val="false"/>
                <w:rFonts w:ascii="Calibri" w:cs="Calibri" w:eastAsia="Calibri" w:hAnsi="Calibri"/>
              </w:rPr>
              <w:t xml:space="preserve">Title (listing)</w:t>
            </w:r>
          </w:p>
        </w:tc>
        <w:tc>
          <w:tcPr>
            <w:tcW w:type="dxa" w:w="852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caps w:val="false"/>
                <w:rFonts w:ascii="Calibri" w:cs="Calibri" w:eastAsia="Calibri" w:hAnsi="Calibri"/>
              </w:rPr>
              <w:t xml:space="preserve">Government Hack™ — Unit 1: Foundations of Constitutional Government · Assessment Book (Teacher)</w:t>
            </w:r>
          </w:p>
        </w:tc>
      </w:tr>
    </w:tbl>
    <w:tbl>
      <w:tblPr>
        <w:tblW w:type="dxa" w:w="11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8520"/>
      </w:tblGrid>
      <w:tr>
        <w:tc>
          <w:tcPr>
            <w:tcW w:type="dxa" w:w="2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i w:val="false"/>
                <w:iCs w:val="false"/>
                <w:color w:val="1B2A4A"/>
                <w:sz w:val="19"/>
                <w:szCs w:val="19"/>
                <w:caps w:val="false"/>
                <w:rFonts w:ascii="Calibri" w:cs="Calibri" w:eastAsia="Calibri" w:hAnsi="Calibri"/>
              </w:rPr>
              <w:t xml:space="preserve">Series</w:t>
            </w:r>
          </w:p>
        </w:tc>
        <w:tc>
          <w:tcPr>
            <w:tcW w:type="dxa" w:w="852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caps w:val="false"/>
                <w:rFonts w:ascii="Calibri" w:cs="Calibri" w:eastAsia="Calibri" w:hAnsi="Calibri"/>
              </w:rPr>
              <w:t xml:space="preserve">Government Hack™ Course Standard (Platinum) Edition</w:t>
            </w:r>
          </w:p>
        </w:tc>
      </w:tr>
    </w:tbl>
    <w:tbl>
      <w:tblPr>
        <w:tblW w:type="dxa" w:w="11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8520"/>
      </w:tblGrid>
      <w:tr>
        <w:tc>
          <w:tcPr>
            <w:tcW w:type="dxa" w:w="2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i w:val="false"/>
                <w:iCs w:val="false"/>
                <w:color w:val="1B2A4A"/>
                <w:sz w:val="19"/>
                <w:szCs w:val="19"/>
                <w:caps w:val="false"/>
                <w:rFonts w:ascii="Calibri" w:cs="Calibri" w:eastAsia="Calibri" w:hAnsi="Calibri"/>
              </w:rPr>
              <w:t xml:space="preserve">Publisher / Author</w:t>
            </w:r>
          </w:p>
        </w:tc>
        <w:tc>
          <w:tcPr>
            <w:tcW w:type="dxa" w:w="852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caps w:val="false"/>
                <w:rFonts w:ascii="Calibri" w:cs="Calibri" w:eastAsia="Calibri" w:hAnsi="Calibri"/>
              </w:rPr>
              <w:t xml:space="preserve">TroopToTeacher Technologies LLC</w:t>
            </w:r>
          </w:p>
        </w:tc>
      </w:tr>
    </w:tbl>
    <w:tbl>
      <w:tblPr>
        <w:tblW w:type="dxa" w:w="11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8520"/>
      </w:tblGrid>
      <w:tr>
        <w:tc>
          <w:tcPr>
            <w:tcW w:type="dxa" w:w="2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i w:val="false"/>
                <w:iCs w:val="false"/>
                <w:color w:val="1B2A4A"/>
                <w:sz w:val="19"/>
                <w:szCs w:val="19"/>
                <w:caps w:val="false"/>
                <w:rFonts w:ascii="Calibri" w:cs="Calibri" w:eastAsia="Calibri" w:hAnsi="Calibri"/>
              </w:rPr>
              <w:t xml:space="preserve">Trim size</w:t>
            </w:r>
          </w:p>
        </w:tc>
        <w:tc>
          <w:tcPr>
            <w:tcW w:type="dxa" w:w="852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caps w:val="false"/>
                <w:rFonts w:ascii="Calibri" w:cs="Calibri" w:eastAsia="Calibri" w:hAnsi="Calibri"/>
              </w:rPr>
              <w:t xml:space="preserve">8.5 × 11 in (US Letter)</w:t>
            </w:r>
          </w:p>
        </w:tc>
      </w:tr>
    </w:tbl>
    <w:tbl>
      <w:tblPr>
        <w:tblW w:type="dxa" w:w="11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8520"/>
      </w:tblGrid>
      <w:tr>
        <w:tc>
          <w:tcPr>
            <w:tcW w:type="dxa" w:w="2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i w:val="false"/>
                <w:iCs w:val="false"/>
                <w:color w:val="1B2A4A"/>
                <w:sz w:val="19"/>
                <w:szCs w:val="19"/>
                <w:caps w:val="false"/>
                <w:rFonts w:ascii="Calibri" w:cs="Calibri" w:eastAsia="Calibri" w:hAnsi="Calibri"/>
              </w:rPr>
              <w:t xml:space="preserve">Interior</w:t>
            </w:r>
          </w:p>
        </w:tc>
        <w:tc>
          <w:tcPr>
            <w:tcW w:type="dxa" w:w="852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caps w:val="false"/>
                <w:rFonts w:ascii="Calibri" w:cs="Calibri" w:eastAsia="Calibri" w:hAnsi="Calibri"/>
              </w:rPr>
              <w:t xml:space="preserve">17 pages, black-and-white, 60-lb (90 gsm) white offset</w:t>
            </w:r>
          </w:p>
        </w:tc>
      </w:tr>
    </w:tbl>
    <w:tbl>
      <w:tblPr>
        <w:tblW w:type="dxa" w:w="11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8520"/>
      </w:tblGrid>
      <w:tr>
        <w:tc>
          <w:tcPr>
            <w:tcW w:type="dxa" w:w="2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i w:val="false"/>
                <w:iCs w:val="false"/>
                <w:color w:val="1B2A4A"/>
                <w:sz w:val="19"/>
                <w:szCs w:val="19"/>
                <w:caps w:val="false"/>
                <w:rFonts w:ascii="Calibri" w:cs="Calibri" w:eastAsia="Calibri" w:hAnsi="Calibri"/>
              </w:rPr>
              <w:t xml:space="preserve">Binding &amp; spine</w:t>
            </w:r>
          </w:p>
        </w:tc>
        <w:tc>
          <w:tcPr>
            <w:tcW w:type="dxa" w:w="852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caps w:val="false"/>
                <w:rFonts w:ascii="Calibri" w:cs="Calibri" w:eastAsia="Calibri" w:hAnsi="Calibri"/>
              </w:rPr>
              <w:t xml:space="preserve">Saddle-stitch (no printed spine) at 17 pp; spine ≈ 0.038 in only. Perfect-bind at ≥ ~48 pp for a printable spine.</w:t>
            </w:r>
          </w:p>
        </w:tc>
      </w:tr>
    </w:tbl>
    <w:tbl>
      <w:tblPr>
        <w:tblW w:type="dxa" w:w="11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8520"/>
      </w:tblGrid>
      <w:tr>
        <w:tc>
          <w:tcPr>
            <w:tcW w:type="dxa" w:w="2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i w:val="false"/>
                <w:iCs w:val="false"/>
                <w:color w:val="1B2A4A"/>
                <w:sz w:val="19"/>
                <w:szCs w:val="19"/>
                <w:caps w:val="false"/>
                <w:rFonts w:ascii="Calibri" w:cs="Calibri" w:eastAsia="Calibri" w:hAnsi="Calibri"/>
              </w:rPr>
              <w:t xml:space="preserve">Cover stock</w:t>
            </w:r>
          </w:p>
        </w:tc>
        <w:tc>
          <w:tcPr>
            <w:tcW w:type="dxa" w:w="852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caps w:val="false"/>
                <w:rFonts w:ascii="Calibri" w:cs="Calibri" w:eastAsia="Calibri" w:hAnsi="Calibri"/>
              </w:rPr>
              <w:t xml:space="preserve">10-pt or 12-pt C1S gloss/matte laminate; full color</w:t>
            </w:r>
          </w:p>
        </w:tc>
      </w:tr>
    </w:tbl>
    <w:tbl>
      <w:tblPr>
        <w:tblW w:type="dxa" w:w="11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8520"/>
      </w:tblGrid>
      <w:tr>
        <w:tc>
          <w:tcPr>
            <w:tcW w:type="dxa" w:w="2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i w:val="false"/>
                <w:iCs w:val="false"/>
                <w:color w:val="1B2A4A"/>
                <w:sz w:val="19"/>
                <w:szCs w:val="19"/>
                <w:caps w:val="false"/>
                <w:rFonts w:ascii="Calibri" w:cs="Calibri" w:eastAsia="Calibri" w:hAnsi="Calibri"/>
              </w:rPr>
              <w:t xml:space="preserve">Bleed</w:t>
            </w:r>
          </w:p>
        </w:tc>
        <w:tc>
          <w:tcPr>
            <w:tcW w:type="dxa" w:w="852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caps w:val="false"/>
                <w:rFonts w:ascii="Calibri" w:cs="Calibri" w:eastAsia="Calibri" w:hAnsi="Calibri"/>
              </w:rPr>
              <w:t xml:space="preserve">Add 0.125 in bleed on all outside edges before print (this concept is at trim).</w:t>
            </w:r>
          </w:p>
        </w:tc>
      </w:tr>
    </w:tbl>
    <w:tbl>
      <w:tblPr>
        <w:tblW w:type="dxa" w:w="11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8520"/>
      </w:tblGrid>
      <w:tr>
        <w:tc>
          <w:tcPr>
            <w:tcW w:type="dxa" w:w="2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i w:val="false"/>
                <w:iCs w:val="false"/>
                <w:color w:val="1B2A4A"/>
                <w:sz w:val="19"/>
                <w:szCs w:val="19"/>
                <w:caps w:val="false"/>
                <w:rFonts w:ascii="Calibri" w:cs="Calibri" w:eastAsia="Calibri" w:hAnsi="Calibri"/>
              </w:rPr>
              <w:t xml:space="preserve">Copyright</w:t>
            </w:r>
          </w:p>
        </w:tc>
        <w:tc>
          <w:tcPr>
            <w:tcW w:type="dxa" w:w="852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caps w:val="false"/>
                <w:rFonts w:ascii="Calibri" w:cs="Calibri" w:eastAsia="Calibri" w:hAnsi="Calibri"/>
              </w:rPr>
              <w:t xml:space="preserve">© 2026 TroopToTeacher Technologies LLC. All rights reserved.</w:t>
            </w:r>
          </w:p>
        </w:tc>
      </w:tr>
    </w:tbl>
    <w:tbl>
      <w:tblPr>
        <w:tblW w:type="dxa" w:w="11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8520"/>
      </w:tblGrid>
      <w:tr>
        <w:tc>
          <w:tcPr>
            <w:tcW w:type="dxa" w:w="2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i w:val="false"/>
                <w:iCs w:val="false"/>
                <w:color w:val="1B2A4A"/>
                <w:sz w:val="19"/>
                <w:szCs w:val="19"/>
                <w:caps w:val="false"/>
                <w:rFonts w:ascii="Calibri" w:cs="Calibri" w:eastAsia="Calibri" w:hAnsi="Calibri"/>
              </w:rPr>
              <w:t xml:space="preserve">ISBN</w:t>
            </w:r>
          </w:p>
        </w:tc>
        <w:tc>
          <w:tcPr>
            <w:tcW w:type="dxa" w:w="852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caps w:val="false"/>
                <w:rFonts w:ascii="Calibri" w:cs="Calibri" w:eastAsia="Calibri" w:hAnsi="Calibri"/>
              </w:rPr>
              <w:t xml:space="preserve">Assign one ISBN per format (paperback / PDF); place barcode in the back-cover box.</w:t>
            </w:r>
          </w:p>
        </w:tc>
      </w:tr>
    </w:tbl>
    <w:tbl>
      <w:tblPr>
        <w:tblW w:type="dxa" w:w="11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8520"/>
      </w:tblGrid>
      <w:tr>
        <w:tc>
          <w:tcPr>
            <w:tcW w:type="dxa" w:w="2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i w:val="false"/>
                <w:iCs w:val="false"/>
                <w:color w:val="1B2A4A"/>
                <w:sz w:val="19"/>
                <w:szCs w:val="19"/>
                <w:caps w:val="false"/>
                <w:rFonts w:ascii="Calibri" w:cs="Calibri" w:eastAsia="Calibri" w:hAnsi="Calibri"/>
              </w:rPr>
              <w:t xml:space="preserve">Age / grade</w:t>
            </w:r>
          </w:p>
        </w:tc>
        <w:tc>
          <w:tcPr>
            <w:tcW w:type="dxa" w:w="852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caps w:val="false"/>
                <w:rFonts w:ascii="Calibri" w:cs="Calibri" w:eastAsia="Calibri" w:hAnsi="Calibri"/>
              </w:rPr>
              <w:t xml:space="preserve">Grades 9–12 · U.S. Government &amp; Civics</w:t>
            </w:r>
          </w:p>
        </w:tc>
      </w:tr>
    </w:tbl>
    <w:tbl>
      <w:tblPr>
        <w:tblW w:type="dxa" w:w="11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8520"/>
      </w:tblGrid>
      <w:tr>
        <w:tc>
          <w:tcPr>
            <w:tcW w:type="dxa" w:w="2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i w:val="false"/>
                <w:iCs w:val="false"/>
                <w:color w:val="1B2A4A"/>
                <w:sz w:val="19"/>
                <w:szCs w:val="19"/>
                <w:caps w:val="false"/>
                <w:rFonts w:ascii="Calibri" w:cs="Calibri" w:eastAsia="Calibri" w:hAnsi="Calibri"/>
              </w:rPr>
              <w:t xml:space="preserve">Categories</w:t>
            </w:r>
          </w:p>
        </w:tc>
        <w:tc>
          <w:tcPr>
            <w:tcW w:type="dxa" w:w="852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caps w:val="false"/>
                <w:rFonts w:ascii="Calibri" w:cs="Calibri" w:eastAsia="Calibri" w:hAnsi="Calibri"/>
              </w:rPr>
              <w:t xml:space="preserve">Education › Teaching Methods &amp; Materials › Social Science; Study Aids › History</w:t>
            </w:r>
          </w:p>
        </w:tc>
      </w:tr>
    </w:tbl>
    <w:tbl>
      <w:tblPr>
        <w:tblW w:type="dxa" w:w="11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8520"/>
      </w:tblGrid>
      <w:tr>
        <w:tc>
          <w:tcPr>
            <w:tcW w:type="dxa" w:w="2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i w:val="false"/>
                <w:iCs w:val="false"/>
                <w:color w:val="1B2A4A"/>
                <w:sz w:val="19"/>
                <w:szCs w:val="19"/>
                <w:caps w:val="false"/>
                <w:rFonts w:ascii="Calibri" w:cs="Calibri" w:eastAsia="Calibri" w:hAnsi="Calibri"/>
              </w:rPr>
              <w:t xml:space="preserve">Keywords</w:t>
            </w:r>
          </w:p>
        </w:tc>
        <w:tc>
          <w:tcPr>
            <w:tcW w:type="dxa" w:w="852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caps w:val="false"/>
                <w:rFonts w:ascii="Calibri" w:cs="Calibri" w:eastAsia="Calibri" w:hAnsi="Calibri"/>
              </w:rPr>
              <w:t xml:space="preserve">assessment, formative, summative, parallel forms, item analysis, reteach, DOK, reporting category, U.S. Government &amp; Civics, TCAP</w:t>
            </w:r>
          </w:p>
        </w:tc>
      </w:tr>
    </w:tbl>
    <w:p>
      <w:pPr>
        <w:spacing w:before="180" w:after="70"/>
        <w:jc w:val="left"/>
      </w:pPr>
      <w:r>
        <w:rPr>
          <w:b/>
          <w:bCs/>
          <w:i w:val="false"/>
          <w:iCs w:val="false"/>
          <w:color w:val="1B2A4A"/>
          <w:sz w:val="21"/>
          <w:szCs w:val="21"/>
          <w:caps/>
          <w:rFonts w:ascii="Calibri" w:cs="Calibri" w:eastAsia="Calibri" w:hAnsi="Calibri"/>
        </w:rPr>
        <w:t xml:space="preserve">BACK-COVER BLURB (for your storefront)</w:t>
      </w:r>
    </w:p>
    <w:p>
      <w:pPr>
        <w:spacing w:after="0"/>
        <w:jc w:val="left"/>
      </w:pPr>
      <w:r>
        <w:rPr>
          <w:b w:val="false"/>
          <w:bCs w:val="false"/>
          <w:i w:val="false"/>
          <w:iCs w:val="false"/>
          <w:color w:val="1A1A1A"/>
          <w:sz w:val="19"/>
          <w:szCs w:val="19"/>
          <w:caps w:val="false"/>
          <w:rFonts w:ascii="Calibri" w:cs="Calibri" w:eastAsia="Calibri" w:hAnsi="Calibri"/>
        </w:rPr>
        <w:t xml:space="preserve">The Unit 1 Assessment Book gives you a formative checkpoint for each standard, two parallel summative forms (A and B) for pre/post or retakes, and a full teacher answer key with item analysis and reteach routing. Every item is drawn from the Government Hack question bank, de-biased, and labeled classroom-formative · pre-field-test. Reproduce the student sections; keep the key section for yourself.</w:t>
      </w:r>
    </w:p>
    <w:sectPr>
      <w:pgSz w:w="12240" w:h="15840" w:orient="portrait"/>
      <w:pgMar w:top="10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color w:val="1A1A1A"/>
        <w:sz w:val="22"/>
        <w:szCs w:val="22"/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2026-07-29T20:51:41.458Z</dcterms:created>
  <dcterms:modified xsi:type="dcterms:W3CDTF">2026-07-29T20:51:41.458Z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