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A7712"/>
          <w:sz w:val="40"/>
        </w:rPr>
        <w:t>U.S. History Hack™</w:t>
      </w:r>
    </w:p>
    <w:p>
      <w:pPr>
        <w:spacing w:after="80" w:before="0"/>
        <w:jc w:val="center"/>
      </w:pPr>
      <w:r>
        <w:rPr>
          <w:b/>
          <w:i w:val="0"/>
          <w:color w:val="1A2332"/>
          <w:sz w:val="44"/>
        </w:rPr>
        <w:t>Unit 1 — The Rise of Industrialization (1877–1900)</w:t>
      </w:r>
    </w:p>
    <w:p>
      <w:pPr>
        <w:spacing w:after="40" w:before="0"/>
        <w:jc w:val="center"/>
      </w:pPr>
      <w:r>
        <w:rPr>
          <w:b w:val="0"/>
          <w:i w:val="0"/>
          <w:color w:val="1F2430"/>
          <w:sz w:val="30"/>
        </w:rPr>
        <w:t>Course Standard · Student Workbook</w:t>
      </w:r>
    </w:p>
    <w:p>
      <w:pPr>
        <w:spacing w:after="360" w:before="0"/>
        <w:jc w:val="center"/>
      </w:pPr>
      <w:r>
        <w:rPr>
          <w:b w:val="0"/>
          <w:i w:val="0"/>
          <w:color w:val="5C6470"/>
          <w:sz w:val="24"/>
        </w:rPr>
        <w:t>Tennessee U.S. History Standards US.01–US.07 · Grades 9–12</w:t>
      </w:r>
    </w:p>
    <w:p>
      <w:pPr>
        <w:spacing w:after="360" w:before="0"/>
        <w:jc w:val="center"/>
      </w:pPr>
      <w:r>
        <w:rPr>
          <w:b/>
          <w:i w:val="0"/>
          <w:color w:val="1A2332"/>
          <w:sz w:val="24"/>
        </w:rPr>
        <w:t>Release-Ready · Pilot Edition</w:t>
      </w:r>
    </w:p>
    <w:p>
      <w:pPr>
        <w:spacing w:after="40" w:before="0"/>
        <w:jc w:val="center"/>
      </w:pPr>
      <w:r>
        <w:rPr>
          <w:b w:val="0"/>
          <w:i w:val="0"/>
          <w:color w:val="5C6470"/>
          <w:sz w:val="20"/>
        </w:rPr>
        <w:t>TroopToTeacher Technologies LLC · © 2026. All rights reserved.</w:t>
      </w:r>
    </w:p>
    <w:p>
      <w:pPr>
        <w:spacing w:after="120" w:before="0"/>
        <w:jc w:val="center"/>
      </w:pPr>
      <w:r>
        <w:rPr>
          <w:b w:val="0"/>
          <w:i w:val="0"/>
          <w:color w:val="5C6470"/>
          <w:sz w:val="19"/>
        </w:rPr>
        <w:t>Aligned to TN Academic Standards &amp; TCAP EOC. Assessment items are pre-field-test (classroom-formative), not a secure TCAP form.</w:t>
      </w:r>
    </w:p>
    <w:p>
      <w:r>
        <w:br w:type="page"/>
      </w:r>
    </w:p>
    <w:p>
      <w:pPr>
        <w:pStyle w:val="Heading1"/>
      </w:pPr>
      <w:r>
        <w:t>Table of Contents</w:t>
      </w:r>
    </w:p>
    <w:p>
      <w:pPr>
        <w:spacing w:after="120" w:before="0"/>
      </w:pPr>
      <w:r>
        <w:fldChar w:fldCharType="begin"/>
      </w:r>
      <w:r>
        <w:instrText xml:space="preserve"> TOC \o "1-2" \h \z \u </w:instrText>
      </w:r>
      <w:r>
        <w:fldChar w:fldCharType="separate"/>
      </w:r>
      <w:r>
        <w:t>Table of contents (updates on open in Word/LibreOffice).</w:t>
      </w:r>
      <w:r>
        <w:fldChar w:fldCharType="end"/>
      </w:r>
    </w:p>
    <w:p>
      <w:r>
        <w:br w:type="page"/>
      </w:r>
    </w:p>
    <w:p>
      <w:pPr>
        <w:pStyle w:val="Heading1"/>
      </w:pPr>
      <w:r>
        <w:t>How to Use This Workbook — UDL &amp; MTSS</w:t>
      </w:r>
    </w:p>
    <w:p>
      <w:pPr>
        <w:spacing w:after="120" w:before="0"/>
      </w:pPr>
      <w:r>
        <w:rPr>
          <w:b w:val="0"/>
          <w:i w:val="0"/>
          <w:color w:val="1F2430"/>
          <w:sz w:val="22"/>
        </w:rPr>
        <w:t>One firm learning goal per standard; flexible, universal ways to reach it. These supports are available by design and never lower the goal. They work alongside — never in place of — required IEP or 504 accommodations.</w:t>
      </w:r>
    </w:p>
    <w:tbl>
      <w:tblPr>
        <w:tblStyle w:val="TableGrid"/>
        <w:tblW w:type="auto" w:w="0"/>
        <w:tblLook w:firstColumn="1" w:firstRow="1" w:lastColumn="0" w:lastRow="0" w:noHBand="0" w:noVBand="1" w:val="04A0"/>
      </w:tblPr>
      <w:tblGrid>
        <w:gridCol w:w="2880"/>
        <w:gridCol w:w="6480"/>
      </w:tblGrid>
      <w:tr>
        <w:tc>
          <w:tcPr>
            <w:tcW w:type="dxa" w:w="4320"/>
            <w:shd w:val="clear" w:fill="1A2332"/>
          </w:tcPr>
          <w:p>
            <w:r>
              <w:rPr>
                <w:b/>
                <w:color w:val="FFFFFF"/>
                <w:sz w:val="20"/>
              </w:rPr>
              <w:t>CORE PATH</w:t>
            </w:r>
          </w:p>
        </w:tc>
        <w:tc>
          <w:tcPr>
            <w:tcW w:type="dxa" w:w="4320"/>
          </w:tcPr>
          <w:p>
            <w:r>
              <w:rPr>
                <w:sz w:val="21"/>
              </w:rPr>
              <w:t>The essential instruction every student completes.</w:t>
            </w:r>
          </w:p>
        </w:tc>
      </w:tr>
      <w:tr>
        <w:tc>
          <w:tcPr>
            <w:tcW w:type="dxa" w:w="4320"/>
            <w:shd w:val="clear" w:fill="1A2332"/>
          </w:tcPr>
          <w:p>
            <w:r>
              <w:rPr>
                <w:b/>
                <w:color w:val="FFFFFF"/>
                <w:sz w:val="20"/>
              </w:rPr>
              <w:t>SUPPORT OPTION</w:t>
            </w:r>
          </w:p>
        </w:tc>
        <w:tc>
          <w:tcPr>
            <w:tcW w:type="dxa" w:w="4320"/>
          </w:tcPr>
          <w:p>
            <w:r>
              <w:rPr>
                <w:sz w:val="21"/>
              </w:rPr>
              <w:t>An optional scaffold that keeps the goal, not lowers it.</w:t>
            </w:r>
          </w:p>
        </w:tc>
      </w:tr>
      <w:tr>
        <w:tc>
          <w:tcPr>
            <w:tcW w:type="dxa" w:w="4320"/>
            <w:shd w:val="clear" w:fill="1A2332"/>
          </w:tcPr>
          <w:p>
            <w:r>
              <w:rPr>
                <w:b/>
                <w:color w:val="FFFFFF"/>
                <w:sz w:val="20"/>
              </w:rPr>
              <w:t>LANGUAGE SUPPORT</w:t>
            </w:r>
          </w:p>
        </w:tc>
        <w:tc>
          <w:tcPr>
            <w:tcW w:type="dxa" w:w="4320"/>
          </w:tcPr>
          <w:p>
            <w:r>
              <w:rPr>
                <w:sz w:val="21"/>
              </w:rPr>
              <w:t>Vocabulary, pronunciation, and Spanish cognates for access.</w:t>
            </w:r>
          </w:p>
        </w:tc>
      </w:tr>
      <w:tr>
        <w:tc>
          <w:tcPr>
            <w:tcW w:type="dxa" w:w="4320"/>
            <w:shd w:val="clear" w:fill="1A2332"/>
          </w:tcPr>
          <w:p>
            <w:r>
              <w:rPr>
                <w:b/>
                <w:color w:val="FFFFFF"/>
                <w:sz w:val="20"/>
              </w:rPr>
              <w:t>RESPONSE CHOICE</w:t>
            </w:r>
          </w:p>
        </w:tc>
        <w:tc>
          <w:tcPr>
            <w:tcW w:type="dxa" w:w="4320"/>
          </w:tcPr>
          <w:p>
            <w:r>
              <w:rPr>
                <w:sz w:val="21"/>
              </w:rPr>
              <w:t>Show learning by writing, saying/recording, or diagramming.</w:t>
            </w:r>
          </w:p>
        </w:tc>
      </w:tr>
      <w:tr>
        <w:tc>
          <w:tcPr>
            <w:tcW w:type="dxa" w:w="4320"/>
            <w:shd w:val="clear" w:fill="1A2332"/>
          </w:tcPr>
          <w:p>
            <w:r>
              <w:rPr>
                <w:b/>
                <w:color w:val="FFFFFF"/>
                <w:sz w:val="20"/>
              </w:rPr>
              <w:t>PROGRESS CHECK</w:t>
            </w:r>
          </w:p>
        </w:tc>
        <w:tc>
          <w:tcPr>
            <w:tcW w:type="dxa" w:w="4320"/>
          </w:tcPr>
          <w:p>
            <w:r>
              <w:rPr>
                <w:sz w:val="21"/>
              </w:rPr>
              <w:t>A quick DOK-2/3 check that guides reteach or extend.</w:t>
            </w:r>
          </w:p>
        </w:tc>
      </w:tr>
      <w:tr>
        <w:tc>
          <w:tcPr>
            <w:tcW w:type="dxa" w:w="4320"/>
            <w:shd w:val="clear" w:fill="1A2332"/>
          </w:tcPr>
          <w:p>
            <w:r>
              <w:rPr>
                <w:b/>
                <w:color w:val="FFFFFF"/>
                <w:sz w:val="20"/>
              </w:rPr>
              <w:t>EXTENSION</w:t>
            </w:r>
          </w:p>
        </w:tc>
        <w:tc>
          <w:tcPr>
            <w:tcW w:type="dxa" w:w="4320"/>
          </w:tcPr>
          <w:p>
            <w:r>
              <w:rPr>
                <w:sz w:val="21"/>
              </w:rPr>
              <w:t>A deeper challenge once the goal is met.</w:t>
            </w:r>
          </w:p>
        </w:tc>
      </w:tr>
    </w:tbl>
    <w:p>
      <w:pPr>
        <w:spacing w:after="120" w:before="160"/>
      </w:pPr>
      <w:r>
        <w:rPr>
          <w:b w:val="0"/>
          <w:i/>
          <w:color w:val="5C6470"/>
          <w:sz w:val="21"/>
        </w:rPr>
        <w:t>The Cornell Universal Front for each standard cites the exact Student (Lean) Deck slides so notes, vocabulary, sources, and Progress Checks stay in the deck’s sequence.</w:t>
      </w:r>
    </w:p>
    <w:p>
      <w:r>
        <w:br w:type="page"/>
      </w:r>
    </w:p>
    <w:p>
      <w:pPr>
        <w:pStyle w:val="Heading1"/>
      </w:pPr>
      <w:r>
        <w:t>US.01 — Homestead Act and Transcontinental Railroad</w:t>
      </w:r>
    </w:p>
    <w:p>
      <w:pPr>
        <w:pStyle w:val="Heading2"/>
      </w:pPr>
      <w:r>
        <w:t>Cornell Universal Front</w:t>
      </w:r>
    </w:p>
    <w:tbl>
      <w:tblPr>
        <w:tblStyle w:val="TableGrid"/>
        <w:tblW w:type="auto" w:w="0"/>
        <w:tblLook w:firstColumn="1" w:firstRow="1" w:lastColumn="0" w:lastRow="0" w:noHBand="0" w:noVBand="1" w:val="04A0"/>
      </w:tblPr>
      <w:tblGrid>
        <w:gridCol w:w="2448"/>
        <w:gridCol w:w="6912"/>
      </w:tblGrid>
      <w:tr>
        <w:tc>
          <w:tcPr>
            <w:tcW w:type="dxa" w:w="4320"/>
            <w:shd w:val="clear" w:fill="F1EFE6"/>
          </w:tcPr>
          <w:p>
            <w:r>
              <w:rPr>
                <w:b/>
                <w:color w:val="1A2332"/>
                <w:sz w:val="21"/>
              </w:rPr>
              <w:t>TN Standard</w:t>
            </w:r>
          </w:p>
        </w:tc>
        <w:tc>
          <w:tcPr>
            <w:tcW w:type="dxa" w:w="4320"/>
          </w:tcPr>
          <w:p>
            <w:r>
              <w:rPr>
                <w:sz w:val="21"/>
              </w:rPr>
              <w:t>Explain how the Homestead Act and the Transcontinental Railroad impacted the settlement of the West. (C, E, G, H, P)</w:t>
            </w:r>
          </w:p>
        </w:tc>
      </w:tr>
      <w:tr>
        <w:tc>
          <w:tcPr>
            <w:tcW w:type="dxa" w:w="4320"/>
            <w:shd w:val="clear" w:fill="F1EFE6"/>
          </w:tcPr>
          <w:p>
            <w:r>
              <w:rPr>
                <w:b/>
                <w:color w:val="1A2332"/>
                <w:sz w:val="21"/>
              </w:rPr>
              <w:t>I Can</w:t>
            </w:r>
          </w:p>
        </w:tc>
        <w:tc>
          <w:tcPr>
            <w:tcW w:type="dxa" w:w="4320"/>
          </w:tcPr>
          <w:p>
            <w:r>
              <w:rPr>
                <w:sz w:val="21"/>
              </w:rPr>
              <w:t>I can explain how the Homestead Act and the Transcontinental Railroad impacted the settlement of the West.</w:t>
            </w:r>
          </w:p>
        </w:tc>
      </w:tr>
      <w:tr>
        <w:tc>
          <w:tcPr>
            <w:tcW w:type="dxa" w:w="4320"/>
            <w:shd w:val="clear" w:fill="F1EFE6"/>
          </w:tcPr>
          <w:p>
            <w:r>
              <w:rPr>
                <w:b/>
                <w:color w:val="1A2332"/>
                <w:sz w:val="21"/>
              </w:rPr>
              <w:t>Direct-teaching</w:t>
            </w:r>
          </w:p>
        </w:tc>
        <w:tc>
          <w:tcPr>
            <w:tcW w:type="dxa" w:w="4320"/>
          </w:tcPr>
          <w:p>
            <w:r>
              <w:rPr>
                <w:sz w:val="21"/>
              </w:rPr>
              <w:t>Student (Lean) Deck slides 4–7 (vocabulary slide 3; primary source slide 8; Three Perspectives slide 9; Progress Check slide 12).</w:t>
            </w:r>
          </w:p>
        </w:tc>
      </w:tr>
      <w:tr>
        <w:tc>
          <w:tcPr>
            <w:tcW w:type="dxa" w:w="4320"/>
            <w:shd w:val="clear" w:fill="F1EFE6"/>
          </w:tcPr>
          <w:p>
            <w:r>
              <w:rPr>
                <w:b/>
                <w:color w:val="1A2332"/>
                <w:sz w:val="21"/>
              </w:rPr>
              <w:t>Guiding questions</w:t>
            </w:r>
          </w:p>
        </w:tc>
        <w:tc>
          <w:tcPr>
            <w:tcW w:type="dxa" w:w="4320"/>
          </w:tcPr>
          <w:p>
            <w:r>
              <w:rPr>
                <w:sz w:val="21"/>
              </w:rPr>
              <w:t>Who benefited?  Who bore the costs?  Who decided?  (Use these three historian questions as your note cues.)</w:t>
            </w:r>
          </w:p>
        </w:tc>
      </w:tr>
      <w:tr>
        <w:tc>
          <w:tcPr>
            <w:tcW w:type="dxa" w:w="4320"/>
            <w:shd w:val="clear" w:fill="F1EFE6"/>
          </w:tcPr>
          <w:p>
            <w:r>
              <w:rPr>
                <w:b/>
                <w:color w:val="1A2332"/>
                <w:sz w:val="21"/>
              </w:rPr>
              <w:t>Key terms</w:t>
            </w:r>
          </w:p>
        </w:tc>
        <w:tc>
          <w:tcPr>
            <w:tcW w:type="dxa" w:w="4320"/>
          </w:tcPr>
          <w:p>
            <w:r>
              <w:rPr>
                <w:sz w:val="21"/>
              </w:rPr>
              <w:t>Homestead Act; Transcontinental Railroad; Westward Expansion</w:t>
            </w:r>
          </w:p>
        </w:tc>
      </w:tr>
      <w:tr>
        <w:tc>
          <w:tcPr>
            <w:tcW w:type="dxa" w:w="4320"/>
            <w:shd w:val="clear" w:fill="F1EFE6"/>
          </w:tcPr>
          <w:p>
            <w:r>
              <w:rPr>
                <w:b/>
                <w:color w:val="1A2332"/>
                <w:sz w:val="21"/>
              </w:rPr>
              <w:t>Primary source</w:t>
            </w:r>
          </w:p>
        </w:tc>
        <w:tc>
          <w:tcPr>
            <w:tcW w:type="dxa" w:w="4320"/>
          </w:tcPr>
          <w:p>
            <w:r>
              <w:rPr>
                <w:sz w:val="21"/>
              </w:rPr>
              <w:t>See “Source It First,” Student Deck slide 8.</w:t>
            </w:r>
          </w:p>
        </w:tc>
      </w:tr>
    </w:tbl>
    <w:p>
      <w:pPr>
        <w:pStyle w:val="Heading2"/>
      </w:pPr>
      <w:r>
        <w:t>Cornell Notes (25 / 75)</w:t>
      </w:r>
    </w:p>
    <w:tbl>
      <w:tblPr>
        <w:tblStyle w:val="TableGrid"/>
        <w:tblW w:type="auto" w:w="0"/>
        <w:tblLook w:firstColumn="1" w:firstRow="1" w:lastColumn="0" w:lastRow="0" w:noHBand="0" w:noVBand="1" w:val="04A0"/>
      </w:tblPr>
      <w:tblGrid>
        <w:gridCol w:w="2736"/>
        <w:gridCol w:w="6624"/>
      </w:tblGrid>
      <w:tr>
        <w:tc>
          <w:tcPr>
            <w:tcW w:type="dxa" w:w="4320"/>
            <w:shd w:val="clear" w:fill="FBF9F2"/>
          </w:tcPr>
          <w:p>
            <w:r>
              <w:rPr>
                <w:b/>
                <w:color w:val="5C6470"/>
                <w:sz w:val="19"/>
              </w:rPr>
              <w:t>CUES / QUESTIONS</w:t>
            </w:r>
          </w:p>
          <w:p>
            <w:pPr>
              <w:spacing w:after="280"/>
            </w:pPr>
            <w:r>
              <w:rPr>
                <w:sz w:val="21"/>
              </w:rPr>
              <w:t>Who benefited?</w:t>
            </w:r>
          </w:p>
          <w:p>
            <w:pPr>
              <w:spacing w:after="280"/>
            </w:pPr>
            <w:r>
              <w:rPr>
                <w:sz w:val="21"/>
              </w:rPr>
              <w:t>Who bore the costs?</w:t>
            </w:r>
          </w:p>
          <w:p>
            <w:pPr>
              <w:spacing w:after="280"/>
            </w:pPr>
            <w:r>
              <w:rPr>
                <w:sz w:val="21"/>
              </w:rPr>
              <w:t>Who decided?</w:t>
            </w:r>
          </w:p>
          <w:p>
            <w:pPr>
              <w:spacing w:after="280"/>
            </w:pPr>
            <w:r>
              <w:rPr>
                <w:sz w:val="21"/>
              </w:rPr>
              <w:t>Key term:</w:t>
            </w:r>
          </w:p>
          <w:p>
            <w:pPr>
              <w:spacing w:after="280"/>
            </w:pPr>
            <w:r>
              <w:rPr>
                <w:sz w:val="21"/>
              </w:rPr>
              <w:t>Key term:</w:t>
            </w:r>
          </w:p>
        </w:tc>
        <w:tc>
          <w:tcPr>
            <w:tcW w:type="dxa" w:w="4320"/>
          </w:tcPr>
          <w:p>
            <w:r>
              <w:rPr>
                <w:b/>
                <w:color w:val="5C6470"/>
                <w:sz w:val="19"/>
              </w:rPr>
              <w:t>NOTES</w:t>
            </w:r>
          </w:p>
          <w:p/>
          <w:p/>
          <w:p/>
          <w:p/>
          <w:p/>
          <w:p/>
          <w:p/>
        </w:tc>
      </w:tr>
    </w:tbl>
    <w:tbl>
      <w:tblPr>
        <w:tblStyle w:val="TableGrid"/>
        <w:tblW w:type="auto" w:w="0"/>
        <w:tblLook w:firstColumn="1" w:firstRow="1" w:lastColumn="0" w:lastRow="0" w:noHBand="0" w:noVBand="1" w:val="04A0"/>
      </w:tblPr>
      <w:tblGrid>
        <w:gridCol w:w="8640"/>
      </w:tblGrid>
      <w:tr>
        <w:tc>
          <w:tcPr>
            <w:tcW w:type="dxa" w:w="8640"/>
            <w:shd w:val="clear" w:fill="F1EFE6"/>
          </w:tcPr>
          <w:p>
            <w:r>
              <w:rPr>
                <w:b/>
                <w:sz w:val="20"/>
              </w:rPr>
              <w:t xml:space="preserve">SUMMARY (2–3 sentences): </w:t>
            </w:r>
          </w:p>
          <w:p/>
          <w:p/>
        </w:tc>
      </w:tr>
    </w:tbl>
    <w:p>
      <w:pPr>
        <w:pStyle w:val="Heading2"/>
      </w:pPr>
      <w:r>
        <w:t>Key Vocabulary · Language Support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A2332"/>
          </w:tcPr>
          <w:p>
            <w:r>
              <w:rPr>
                <w:b/>
                <w:color w:val="FFFFFF"/>
                <w:sz w:val="19"/>
              </w:rPr>
              <w:t>Term (say / Spanish)</w:t>
            </w:r>
          </w:p>
        </w:tc>
        <w:tc>
          <w:tcPr>
            <w:tcW w:type="dxa" w:w="2880"/>
            <w:shd w:val="clear" w:fill="1A2332"/>
          </w:tcPr>
          <w:p>
            <w:r>
              <w:rPr>
                <w:b/>
                <w:color w:val="FFFFFF"/>
                <w:sz w:val="19"/>
              </w:rPr>
              <w:t>Definition</w:t>
            </w:r>
          </w:p>
        </w:tc>
        <w:tc>
          <w:tcPr>
            <w:tcW w:type="dxa" w:w="2880"/>
            <w:shd w:val="clear" w:fill="1A2332"/>
          </w:tcPr>
          <w:p>
            <w:r>
              <w:rPr>
                <w:b/>
                <w:color w:val="FFFFFF"/>
                <w:sz w:val="19"/>
              </w:rPr>
              <w:t>Use it</w:t>
            </w:r>
          </w:p>
        </w:tc>
      </w:tr>
      <w:tr>
        <w:tc>
          <w:tcPr>
            <w:tcW w:type="dxa" w:w="2880"/>
          </w:tcPr>
          <w:p>
            <w:r>
              <w:rPr>
                <w:b/>
                <w:sz w:val="21"/>
              </w:rPr>
              <w:t>Homestead Act</w:t>
              <w:br/>
            </w:r>
            <w:r>
              <w:rPr>
                <w:color w:val="5C6470"/>
                <w:sz w:val="18"/>
              </w:rPr>
              <w:t>say: HOHM-sted</w:t>
              <w:br/>
              <w:t>ES: Ley de Homestead</w:t>
            </w:r>
          </w:p>
        </w:tc>
        <w:tc>
          <w:tcPr>
            <w:tcW w:type="dxa" w:w="2880"/>
          </w:tcPr>
          <w:p>
            <w:r>
              <w:rPr>
                <w:sz w:val="20"/>
              </w:rPr>
              <w:t>An 1862 law that provided 160 acres of public land to settlers who agreed to live on and improve the land for five years, encouraging westward expansion.</w:t>
            </w:r>
          </w:p>
        </w:tc>
        <w:tc>
          <w:tcPr>
            <w:tcW w:type="dxa" w:w="2880"/>
          </w:tcPr>
          <w:p>
            <w:r>
              <w:rPr>
                <w:sz w:val="20"/>
              </w:rPr>
            </w:r>
          </w:p>
        </w:tc>
      </w:tr>
      <w:tr>
        <w:tc>
          <w:tcPr>
            <w:tcW w:type="dxa" w:w="2880"/>
          </w:tcPr>
          <w:p>
            <w:r>
              <w:rPr>
                <w:b/>
                <w:sz w:val="21"/>
              </w:rPr>
              <w:t>Transcontinental Railroad</w:t>
              <w:br/>
            </w:r>
            <w:r>
              <w:rPr>
                <w:color w:val="5C6470"/>
                <w:sz w:val="18"/>
              </w:rPr>
              <w:t>say: tranz-kon-tih-NEN-tul RAYL-rohd</w:t>
              <w:br/>
              <w:t>ES: Ferrocarril Transcontinental</w:t>
            </w:r>
          </w:p>
        </w:tc>
        <w:tc>
          <w:tcPr>
            <w:tcW w:type="dxa" w:w="2880"/>
          </w:tcPr>
          <w:p>
            <w:r>
              <w:rPr>
                <w:sz w:val="20"/>
              </w:rPr>
              <w:t>A continuous railroad line completed in 1869 that connected the eastern United States with the Pacific coast, revolutionizing transportation and commerce.</w:t>
            </w:r>
          </w:p>
        </w:tc>
        <w:tc>
          <w:tcPr>
            <w:tcW w:type="dxa" w:w="2880"/>
          </w:tcPr>
          <w:p>
            <w:r>
              <w:rPr>
                <w:sz w:val="20"/>
              </w:rPr>
            </w:r>
          </w:p>
        </w:tc>
      </w:tr>
      <w:tr>
        <w:tc>
          <w:tcPr>
            <w:tcW w:type="dxa" w:w="2880"/>
          </w:tcPr>
          <w:p>
            <w:r>
              <w:rPr>
                <w:b/>
                <w:sz w:val="21"/>
              </w:rPr>
              <w:t>Westward Expansion</w:t>
              <w:br/>
            </w:r>
            <w:r>
              <w:rPr>
                <w:color w:val="5C6470"/>
                <w:sz w:val="18"/>
              </w:rPr>
              <w:t>say: WEST-werd ek-SPAN-shun</w:t>
              <w:br/>
              <w:t>ES: Expansión hacia el Oeste</w:t>
            </w:r>
          </w:p>
        </w:tc>
        <w:tc>
          <w:tcPr>
            <w:tcW w:type="dxa" w:w="2880"/>
          </w:tcPr>
          <w:p>
            <w:r>
              <w:rPr>
                <w:sz w:val="20"/>
              </w:rPr>
              <w:t>The 19th-century movement of settlers, railroads, and U.S. authority across the continent toward the Pacific, encouraged by free land and new transportation.</w:t>
            </w:r>
          </w:p>
        </w:tc>
        <w:tc>
          <w:tcPr>
            <w:tcW w:type="dxa" w:w="2880"/>
          </w:tcPr>
          <w:p>
            <w:r>
              <w:rPr>
                <w:sz w:val="20"/>
              </w:rPr>
            </w:r>
          </w:p>
        </w:tc>
      </w:tr>
    </w:tbl>
    <w:p>
      <w:pPr>
        <w:pStyle w:val="Heading2"/>
      </w:pPr>
      <w:r>
        <w:t>Transfer Check</w:t>
      </w:r>
    </w:p>
    <w:p>
      <w:pPr>
        <w:spacing w:after="80" w:before="0"/>
      </w:pPr>
      <w:r>
        <w:rPr>
          <w:b/>
          <w:i w:val="0"/>
          <w:color w:val="1F2430"/>
          <w:sz w:val="21"/>
        </w:rPr>
        <w:t>[u1-us01-dok3-tc · DOK 3 · pre-field-test]  A homesteading family and a Lakota family in 1875 would most likely have described the Homestead Act in very different ways. Which statement best explains why?</w:t>
      </w:r>
    </w:p>
    <w:p>
      <w:pPr>
        <w:spacing w:after="60"/>
        <w:ind w:left="432"/>
      </w:pPr>
      <w:r>
        <w:rPr>
          <w:b/>
          <w:sz w:val="21"/>
        </w:rPr>
        <w:t xml:space="preserve">A.  </w:t>
      </w:r>
      <w:r>
        <w:rPr>
          <w:sz w:val="21"/>
        </w:rPr>
        <w:t>The Homestead Act applied only to settlers and never affected American Indians in any way.</w:t>
      </w:r>
    </w:p>
    <w:p>
      <w:pPr>
        <w:spacing w:after="60"/>
        <w:ind w:left="432"/>
      </w:pPr>
      <w:r>
        <w:rPr>
          <w:b/>
          <w:sz w:val="21"/>
        </w:rPr>
        <w:t xml:space="preserve">B.  </w:t>
      </w:r>
      <w:r>
        <w:rPr>
          <w:sz w:val="21"/>
        </w:rPr>
        <w:t>The same law that opened “free” land to settlers took that land away from American Indians who already lived on it.</w:t>
      </w:r>
    </w:p>
    <w:p>
      <w:pPr>
        <w:spacing w:after="60"/>
        <w:ind w:left="432"/>
      </w:pPr>
      <w:r>
        <w:rPr>
          <w:b/>
          <w:sz w:val="21"/>
        </w:rPr>
        <w:t xml:space="preserve">C.  </w:t>
      </w:r>
      <w:r>
        <w:rPr>
          <w:sz w:val="21"/>
        </w:rPr>
        <w:t>Both families received 160 acres each under the law, so their views would have matched.</w:t>
      </w:r>
    </w:p>
    <w:p>
      <w:pPr>
        <w:spacing w:after="60"/>
        <w:ind w:left="432"/>
      </w:pPr>
      <w:r>
        <w:rPr>
          <w:b/>
          <w:sz w:val="21"/>
        </w:rPr>
        <w:t xml:space="preserve">D.  </w:t>
      </w:r>
      <w:r>
        <w:rPr>
          <w:sz w:val="21"/>
        </w:rPr>
        <w:t>The law was written to benefit American Indians first and settlers second.</w:t>
      </w:r>
    </w:p>
    <w:p>
      <w:pPr>
        <w:spacing w:after="80" w:before="0"/>
      </w:pPr>
      <w:r>
        <w:rPr>
          <w:b w:val="0"/>
          <w:i/>
          <w:color w:val="5C6470"/>
          <w:sz w:val="19"/>
        </w:rPr>
        <w:t>RESPONSE CHOICE — answer by writing, saying/recording, or diagramming. Answer key is in the Teacher Guide (kept separate).</w:t>
      </w:r>
    </w:p>
    <w:p>
      <w:r>
        <w:br w:type="page"/>
      </w:r>
    </w:p>
    <w:p>
      <w:pPr>
        <w:pStyle w:val="Heading1"/>
      </w:pPr>
      <w:r>
        <w:t>US.02 — Federal Policies Toward American Indians</w:t>
      </w:r>
    </w:p>
    <w:p>
      <w:pPr>
        <w:pStyle w:val="Heading2"/>
      </w:pPr>
      <w:r>
        <w:t>Cornell Universal Front</w:t>
      </w:r>
    </w:p>
    <w:tbl>
      <w:tblPr>
        <w:tblStyle w:val="TableGrid"/>
        <w:tblW w:type="auto" w:w="0"/>
        <w:tblLook w:firstColumn="1" w:firstRow="1" w:lastColumn="0" w:lastRow="0" w:noHBand="0" w:noVBand="1" w:val="04A0"/>
      </w:tblPr>
      <w:tblGrid>
        <w:gridCol w:w="2448"/>
        <w:gridCol w:w="6912"/>
      </w:tblGrid>
      <w:tr>
        <w:tc>
          <w:tcPr>
            <w:tcW w:type="dxa" w:w="4320"/>
            <w:shd w:val="clear" w:fill="F1EFE6"/>
          </w:tcPr>
          <w:p>
            <w:r>
              <w:rPr>
                <w:b/>
                <w:color w:val="1A2332"/>
                <w:sz w:val="21"/>
              </w:rPr>
              <w:t>TN Standard</w:t>
            </w:r>
          </w:p>
        </w:tc>
        <w:tc>
          <w:tcPr>
            <w:tcW w:type="dxa" w:w="4320"/>
          </w:tcPr>
          <w:p>
            <w:r>
              <w:rPr>
                <w:sz w:val="21"/>
              </w:rPr>
              <w:t>Examine federal policies toward American Indians, including the movement to reservations, assimilation, boarding schools, and the Dawes Act. (C, G, H, P, T)</w:t>
            </w:r>
          </w:p>
        </w:tc>
      </w:tr>
      <w:tr>
        <w:tc>
          <w:tcPr>
            <w:tcW w:type="dxa" w:w="4320"/>
            <w:shd w:val="clear" w:fill="F1EFE6"/>
          </w:tcPr>
          <w:p>
            <w:r>
              <w:rPr>
                <w:b/>
                <w:color w:val="1A2332"/>
                <w:sz w:val="21"/>
              </w:rPr>
              <w:t>I Can</w:t>
            </w:r>
          </w:p>
        </w:tc>
        <w:tc>
          <w:tcPr>
            <w:tcW w:type="dxa" w:w="4320"/>
          </w:tcPr>
          <w:p>
            <w:r>
              <w:rPr>
                <w:sz w:val="21"/>
              </w:rPr>
              <w:t>I can examine federal policies toward American Indians, including the movement to reservations, assimilation, boarding schools, and the Dawes Act.</w:t>
            </w:r>
          </w:p>
        </w:tc>
      </w:tr>
      <w:tr>
        <w:tc>
          <w:tcPr>
            <w:tcW w:type="dxa" w:w="4320"/>
            <w:shd w:val="clear" w:fill="F1EFE6"/>
          </w:tcPr>
          <w:p>
            <w:r>
              <w:rPr>
                <w:b/>
                <w:color w:val="1A2332"/>
                <w:sz w:val="21"/>
              </w:rPr>
              <w:t>Direct-teaching</w:t>
            </w:r>
          </w:p>
        </w:tc>
        <w:tc>
          <w:tcPr>
            <w:tcW w:type="dxa" w:w="4320"/>
          </w:tcPr>
          <w:p>
            <w:r>
              <w:rPr>
                <w:sz w:val="21"/>
              </w:rPr>
              <w:t>Student (Lean) Deck slides 15–17 (vocabulary slide 14; primary source slide 18; Three Perspectives slide 19; Progress Check slide 20).</w:t>
            </w:r>
          </w:p>
        </w:tc>
      </w:tr>
      <w:tr>
        <w:tc>
          <w:tcPr>
            <w:tcW w:type="dxa" w:w="4320"/>
            <w:shd w:val="clear" w:fill="F1EFE6"/>
          </w:tcPr>
          <w:p>
            <w:r>
              <w:rPr>
                <w:b/>
                <w:color w:val="1A2332"/>
                <w:sz w:val="21"/>
              </w:rPr>
              <w:t>Guiding questions</w:t>
            </w:r>
          </w:p>
        </w:tc>
        <w:tc>
          <w:tcPr>
            <w:tcW w:type="dxa" w:w="4320"/>
          </w:tcPr>
          <w:p>
            <w:r>
              <w:rPr>
                <w:sz w:val="21"/>
              </w:rPr>
              <w:t>Who benefited?  Who bore the costs?  Who decided?  (Use these three historian questions as your note cues.)</w:t>
            </w:r>
          </w:p>
        </w:tc>
      </w:tr>
      <w:tr>
        <w:tc>
          <w:tcPr>
            <w:tcW w:type="dxa" w:w="4320"/>
            <w:shd w:val="clear" w:fill="F1EFE6"/>
          </w:tcPr>
          <w:p>
            <w:r>
              <w:rPr>
                <w:b/>
                <w:color w:val="1A2332"/>
                <w:sz w:val="21"/>
              </w:rPr>
              <w:t>Key terms</w:t>
            </w:r>
          </w:p>
        </w:tc>
        <w:tc>
          <w:tcPr>
            <w:tcW w:type="dxa" w:w="4320"/>
          </w:tcPr>
          <w:p>
            <w:r>
              <w:rPr>
                <w:sz w:val="21"/>
              </w:rPr>
              <w:t>Reservation System; Assimilation; Dawes Act</w:t>
            </w:r>
          </w:p>
        </w:tc>
      </w:tr>
      <w:tr>
        <w:tc>
          <w:tcPr>
            <w:tcW w:type="dxa" w:w="4320"/>
            <w:shd w:val="clear" w:fill="F1EFE6"/>
          </w:tcPr>
          <w:p>
            <w:r>
              <w:rPr>
                <w:b/>
                <w:color w:val="1A2332"/>
                <w:sz w:val="21"/>
              </w:rPr>
              <w:t>Primary source</w:t>
            </w:r>
          </w:p>
        </w:tc>
        <w:tc>
          <w:tcPr>
            <w:tcW w:type="dxa" w:w="4320"/>
          </w:tcPr>
          <w:p>
            <w:r>
              <w:rPr>
                <w:sz w:val="21"/>
              </w:rPr>
              <w:t>See “Source It First,” Student Deck slide 18.</w:t>
            </w:r>
          </w:p>
        </w:tc>
      </w:tr>
    </w:tbl>
    <w:p>
      <w:pPr>
        <w:pStyle w:val="Heading2"/>
      </w:pPr>
      <w:r>
        <w:t>Cornell Notes (25 / 75)</w:t>
      </w:r>
    </w:p>
    <w:tbl>
      <w:tblPr>
        <w:tblStyle w:val="TableGrid"/>
        <w:tblW w:type="auto" w:w="0"/>
        <w:tblLook w:firstColumn="1" w:firstRow="1" w:lastColumn="0" w:lastRow="0" w:noHBand="0" w:noVBand="1" w:val="04A0"/>
      </w:tblPr>
      <w:tblGrid>
        <w:gridCol w:w="2736"/>
        <w:gridCol w:w="6624"/>
      </w:tblGrid>
      <w:tr>
        <w:tc>
          <w:tcPr>
            <w:tcW w:type="dxa" w:w="4320"/>
            <w:shd w:val="clear" w:fill="FBF9F2"/>
          </w:tcPr>
          <w:p>
            <w:r>
              <w:rPr>
                <w:b/>
                <w:color w:val="5C6470"/>
                <w:sz w:val="19"/>
              </w:rPr>
              <w:t>CUES / QUESTIONS</w:t>
            </w:r>
          </w:p>
          <w:p>
            <w:pPr>
              <w:spacing w:after="280"/>
            </w:pPr>
            <w:r>
              <w:rPr>
                <w:sz w:val="21"/>
              </w:rPr>
              <w:t>Who benefited?</w:t>
            </w:r>
          </w:p>
          <w:p>
            <w:pPr>
              <w:spacing w:after="280"/>
            </w:pPr>
            <w:r>
              <w:rPr>
                <w:sz w:val="21"/>
              </w:rPr>
              <w:t>Who bore the costs?</w:t>
            </w:r>
          </w:p>
          <w:p>
            <w:pPr>
              <w:spacing w:after="280"/>
            </w:pPr>
            <w:r>
              <w:rPr>
                <w:sz w:val="21"/>
              </w:rPr>
              <w:t>Who decided?</w:t>
            </w:r>
          </w:p>
          <w:p>
            <w:pPr>
              <w:spacing w:after="280"/>
            </w:pPr>
            <w:r>
              <w:rPr>
                <w:sz w:val="21"/>
              </w:rPr>
              <w:t>Key term:</w:t>
            </w:r>
          </w:p>
          <w:p>
            <w:pPr>
              <w:spacing w:after="280"/>
            </w:pPr>
            <w:r>
              <w:rPr>
                <w:sz w:val="21"/>
              </w:rPr>
              <w:t>Key term:</w:t>
            </w:r>
          </w:p>
        </w:tc>
        <w:tc>
          <w:tcPr>
            <w:tcW w:type="dxa" w:w="4320"/>
          </w:tcPr>
          <w:p>
            <w:r>
              <w:rPr>
                <w:b/>
                <w:color w:val="5C6470"/>
                <w:sz w:val="19"/>
              </w:rPr>
              <w:t>NOTES</w:t>
            </w:r>
          </w:p>
          <w:p/>
          <w:p/>
          <w:p/>
          <w:p/>
          <w:p/>
          <w:p/>
          <w:p/>
        </w:tc>
      </w:tr>
    </w:tbl>
    <w:tbl>
      <w:tblPr>
        <w:tblStyle w:val="TableGrid"/>
        <w:tblW w:type="auto" w:w="0"/>
        <w:tblLook w:firstColumn="1" w:firstRow="1" w:lastColumn="0" w:lastRow="0" w:noHBand="0" w:noVBand="1" w:val="04A0"/>
      </w:tblPr>
      <w:tblGrid>
        <w:gridCol w:w="8640"/>
      </w:tblGrid>
      <w:tr>
        <w:tc>
          <w:tcPr>
            <w:tcW w:type="dxa" w:w="8640"/>
            <w:shd w:val="clear" w:fill="F1EFE6"/>
          </w:tcPr>
          <w:p>
            <w:r>
              <w:rPr>
                <w:b/>
                <w:sz w:val="20"/>
              </w:rPr>
              <w:t xml:space="preserve">SUMMARY (2–3 sentences): </w:t>
            </w:r>
          </w:p>
          <w:p/>
          <w:p/>
        </w:tc>
      </w:tr>
    </w:tbl>
    <w:p>
      <w:pPr>
        <w:pStyle w:val="Heading2"/>
      </w:pPr>
      <w:r>
        <w:t>Key Vocabulary · Language Support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A2332"/>
          </w:tcPr>
          <w:p>
            <w:r>
              <w:rPr>
                <w:b/>
                <w:color w:val="FFFFFF"/>
                <w:sz w:val="19"/>
              </w:rPr>
              <w:t>Term (say / Spanish)</w:t>
            </w:r>
          </w:p>
        </w:tc>
        <w:tc>
          <w:tcPr>
            <w:tcW w:type="dxa" w:w="2880"/>
            <w:shd w:val="clear" w:fill="1A2332"/>
          </w:tcPr>
          <w:p>
            <w:r>
              <w:rPr>
                <w:b/>
                <w:color w:val="FFFFFF"/>
                <w:sz w:val="19"/>
              </w:rPr>
              <w:t>Definition</w:t>
            </w:r>
          </w:p>
        </w:tc>
        <w:tc>
          <w:tcPr>
            <w:tcW w:type="dxa" w:w="2880"/>
            <w:shd w:val="clear" w:fill="1A2332"/>
          </w:tcPr>
          <w:p>
            <w:r>
              <w:rPr>
                <w:b/>
                <w:color w:val="FFFFFF"/>
                <w:sz w:val="19"/>
              </w:rPr>
              <w:t>Use it</w:t>
            </w:r>
          </w:p>
        </w:tc>
      </w:tr>
      <w:tr>
        <w:tc>
          <w:tcPr>
            <w:tcW w:type="dxa" w:w="2880"/>
          </w:tcPr>
          <w:p>
            <w:r>
              <w:rPr>
                <w:b/>
                <w:sz w:val="21"/>
              </w:rPr>
              <w:t>Reservation System</w:t>
              <w:br/>
            </w:r>
            <w:r>
              <w:rPr>
                <w:color w:val="5C6470"/>
                <w:sz w:val="18"/>
              </w:rPr>
              <w:t>say: rez-er-VAY-shun SIS-tum</w:t>
              <w:br/>
              <w:t>ES: Sistema de Reservaciones</w:t>
            </w:r>
          </w:p>
        </w:tc>
        <w:tc>
          <w:tcPr>
            <w:tcW w:type="dxa" w:w="2880"/>
          </w:tcPr>
          <w:p>
            <w:r>
              <w:rPr>
                <w:sz w:val="20"/>
              </w:rPr>
              <w:t>Federal policy that confined Native American tribes to designated areas of land, often far from their ancestral territories, to control indigenous populations and open land for white settlement.</w:t>
            </w:r>
          </w:p>
        </w:tc>
        <w:tc>
          <w:tcPr>
            <w:tcW w:type="dxa" w:w="2880"/>
          </w:tcPr>
          <w:p>
            <w:r>
              <w:rPr>
                <w:sz w:val="20"/>
              </w:rPr>
            </w:r>
          </w:p>
        </w:tc>
      </w:tr>
      <w:tr>
        <w:tc>
          <w:tcPr>
            <w:tcW w:type="dxa" w:w="2880"/>
          </w:tcPr>
          <w:p>
            <w:r>
              <w:rPr>
                <w:b/>
                <w:sz w:val="21"/>
              </w:rPr>
              <w:t>Assimilation</w:t>
              <w:br/>
            </w:r>
            <w:r>
              <w:rPr>
                <w:color w:val="5C6470"/>
                <w:sz w:val="18"/>
              </w:rPr>
              <w:t>say: uh-sim-ih-LAY-shun</w:t>
              <w:br/>
              <w:t>ES: Asimilación</w:t>
            </w:r>
          </w:p>
        </w:tc>
        <w:tc>
          <w:tcPr>
            <w:tcW w:type="dxa" w:w="2880"/>
          </w:tcPr>
          <w:p>
            <w:r>
              <w:rPr>
                <w:sz w:val="20"/>
              </w:rPr>
              <w:t>Federal policy aimed at forcing Native Americans to abandon their traditional cultures and adopt European-American ways of life, including language, religion, and customs.</w:t>
            </w:r>
          </w:p>
        </w:tc>
        <w:tc>
          <w:tcPr>
            <w:tcW w:type="dxa" w:w="2880"/>
          </w:tcPr>
          <w:p>
            <w:r>
              <w:rPr>
                <w:sz w:val="20"/>
              </w:rPr>
            </w:r>
          </w:p>
        </w:tc>
      </w:tr>
      <w:tr>
        <w:tc>
          <w:tcPr>
            <w:tcW w:type="dxa" w:w="2880"/>
          </w:tcPr>
          <w:p>
            <w:r>
              <w:rPr>
                <w:b/>
                <w:sz w:val="21"/>
              </w:rPr>
              <w:t>Dawes Act</w:t>
              <w:br/>
            </w:r>
            <w:r>
              <w:rPr>
                <w:color w:val="5C6470"/>
                <w:sz w:val="18"/>
              </w:rPr>
              <w:t>say: DAWZ</w:t>
              <w:br/>
              <w:t>ES: Ley Dawes</w:t>
            </w:r>
          </w:p>
        </w:tc>
        <w:tc>
          <w:tcPr>
            <w:tcW w:type="dxa" w:w="2880"/>
          </w:tcPr>
          <w:p>
            <w:r>
              <w:rPr>
                <w:sz w:val="20"/>
              </w:rPr>
              <w:t>An 1887 law that divided tribal lands into individual allotments, aiming to break up reservations and assimilate Native Americans; it resulted in massive Native land loss.</w:t>
            </w:r>
          </w:p>
        </w:tc>
        <w:tc>
          <w:tcPr>
            <w:tcW w:type="dxa" w:w="2880"/>
          </w:tcPr>
          <w:p>
            <w:r>
              <w:rPr>
                <w:sz w:val="20"/>
              </w:rPr>
            </w:r>
          </w:p>
        </w:tc>
      </w:tr>
    </w:tbl>
    <w:p>
      <w:pPr>
        <w:pStyle w:val="Heading2"/>
      </w:pPr>
      <w:r>
        <w:t>Transfer Check</w:t>
      </w:r>
    </w:p>
    <w:p>
      <w:pPr>
        <w:spacing w:after="80" w:before="0"/>
      </w:pPr>
      <w:r>
        <w:rPr>
          <w:b/>
          <w:i w:val="0"/>
          <w:color w:val="1F2430"/>
          <w:sz w:val="21"/>
        </w:rPr>
        <w:t>[u1-us02-dok2-tc · DOK 2 · pre-field-test]  Based on the excerpt, what was the most likely long-term effect of dividing tribal land “in severalty” under the Dawes Act?</w:t>
      </w:r>
    </w:p>
    <w:p>
      <w:pPr>
        <w:spacing w:after="60"/>
        <w:ind w:left="432"/>
      </w:pPr>
      <w:r>
        <w:rPr>
          <w:b/>
          <w:sz w:val="21"/>
        </w:rPr>
        <w:t xml:space="preserve">A.  </w:t>
      </w:r>
      <w:r>
        <w:rPr>
          <w:sz w:val="21"/>
        </w:rPr>
        <w:t>It strengthened tribal governments and expanded reservation territory.</w:t>
      </w:r>
    </w:p>
    <w:p>
      <w:pPr>
        <w:spacing w:after="60"/>
        <w:ind w:left="432"/>
      </w:pPr>
      <w:r>
        <w:rPr>
          <w:b/>
          <w:sz w:val="21"/>
        </w:rPr>
        <w:t xml:space="preserve">B.  </w:t>
      </w:r>
      <w:r>
        <w:rPr>
          <w:sz w:val="21"/>
        </w:rPr>
        <w:t>It returned ancestral homelands to tribal control.</w:t>
      </w:r>
    </w:p>
    <w:p>
      <w:pPr>
        <w:spacing w:after="60"/>
        <w:ind w:left="432"/>
      </w:pPr>
      <w:r>
        <w:rPr>
          <w:b/>
          <w:sz w:val="21"/>
        </w:rPr>
        <w:t xml:space="preserve">C.  </w:t>
      </w:r>
      <w:r>
        <w:rPr>
          <w:sz w:val="21"/>
        </w:rPr>
        <w:t>It had no measurable effect on Native landholding.</w:t>
      </w:r>
    </w:p>
    <w:p>
      <w:pPr>
        <w:spacing w:after="60"/>
        <w:ind w:left="432"/>
      </w:pPr>
      <w:r>
        <w:rPr>
          <w:b/>
          <w:sz w:val="21"/>
        </w:rPr>
        <w:t xml:space="preserve">D.  </w:t>
      </w:r>
      <w:r>
        <w:rPr>
          <w:sz w:val="21"/>
        </w:rPr>
        <w:t>It broke up communal tribal ownership and led to large-scale Native land loss.</w:t>
      </w:r>
    </w:p>
    <w:p>
      <w:pPr>
        <w:spacing w:after="80" w:before="0"/>
      </w:pPr>
      <w:r>
        <w:rPr>
          <w:b w:val="0"/>
          <w:i/>
          <w:color w:val="5C6470"/>
          <w:sz w:val="19"/>
        </w:rPr>
        <w:t>RESPONSE CHOICE — answer by writing, saying/recording, or diagramming. Answer key is in the Teacher Guide (kept separate).</w:t>
      </w:r>
    </w:p>
    <w:p>
      <w:r>
        <w:br w:type="page"/>
      </w:r>
    </w:p>
    <w:p>
      <w:pPr>
        <w:pStyle w:val="Heading1"/>
      </w:pPr>
      <w:r>
        <w:t>US.03 — Compromise of 1877, Jim Crow &amp; Plessy v. Ferguson</w:t>
      </w:r>
    </w:p>
    <w:p>
      <w:pPr>
        <w:pStyle w:val="Heading2"/>
      </w:pPr>
      <w:r>
        <w:t>Cornell Universal Front</w:t>
      </w:r>
    </w:p>
    <w:tbl>
      <w:tblPr>
        <w:tblStyle w:val="TableGrid"/>
        <w:tblW w:type="auto" w:w="0"/>
        <w:tblLook w:firstColumn="1" w:firstRow="1" w:lastColumn="0" w:lastRow="0" w:noHBand="0" w:noVBand="1" w:val="04A0"/>
      </w:tblPr>
      <w:tblGrid>
        <w:gridCol w:w="2448"/>
        <w:gridCol w:w="6912"/>
      </w:tblGrid>
      <w:tr>
        <w:tc>
          <w:tcPr>
            <w:tcW w:type="dxa" w:w="4320"/>
            <w:shd w:val="clear" w:fill="F1EFE6"/>
          </w:tcPr>
          <w:p>
            <w:r>
              <w:rPr>
                <w:b/>
                <w:color w:val="1A2332"/>
                <w:sz w:val="21"/>
              </w:rPr>
              <w:t>TN Standard</w:t>
            </w:r>
          </w:p>
        </w:tc>
        <w:tc>
          <w:tcPr>
            <w:tcW w:type="dxa" w:w="4320"/>
          </w:tcPr>
          <w:p>
            <w:r>
              <w:rPr>
                <w:sz w:val="21"/>
              </w:rPr>
              <w:t>Explain the impact of the Compromise of 1877, including Jim Crow laws, lynching, disenfranchisement methods, the efforts of Benjamin “Pap” Singleton and the Exodusters, and the Plessy v. Ferguson decision. (C, G, H, P, T, TCA) (T.C.A. § 49-6-1006)</w:t>
            </w:r>
          </w:p>
        </w:tc>
      </w:tr>
      <w:tr>
        <w:tc>
          <w:tcPr>
            <w:tcW w:type="dxa" w:w="4320"/>
            <w:shd w:val="clear" w:fill="F1EFE6"/>
          </w:tcPr>
          <w:p>
            <w:r>
              <w:rPr>
                <w:b/>
                <w:color w:val="1A2332"/>
                <w:sz w:val="21"/>
              </w:rPr>
              <w:t>I Can</w:t>
            </w:r>
          </w:p>
        </w:tc>
        <w:tc>
          <w:tcPr>
            <w:tcW w:type="dxa" w:w="4320"/>
          </w:tcPr>
          <w:p>
            <w:r>
              <w:rPr>
                <w:sz w:val="21"/>
              </w:rPr>
              <w:t>I can explain the impact of the Compromise of 1877, including Jim Crow laws, lynching, disenfranchisement methods, the efforts of Benjamin “Pap” Singleton and the Exodusters, and the Plessy v. Ferguson decision.</w:t>
            </w:r>
          </w:p>
        </w:tc>
      </w:tr>
      <w:tr>
        <w:tc>
          <w:tcPr>
            <w:tcW w:type="dxa" w:w="4320"/>
            <w:shd w:val="clear" w:fill="F1EFE6"/>
          </w:tcPr>
          <w:p>
            <w:r>
              <w:rPr>
                <w:b/>
                <w:color w:val="1A2332"/>
                <w:sz w:val="21"/>
              </w:rPr>
              <w:t>Direct-teaching</w:t>
            </w:r>
          </w:p>
        </w:tc>
        <w:tc>
          <w:tcPr>
            <w:tcW w:type="dxa" w:w="4320"/>
          </w:tcPr>
          <w:p>
            <w:r>
              <w:rPr>
                <w:sz w:val="21"/>
              </w:rPr>
              <w:t>Student (Lean) Deck slides 23–26 (vocabulary slide 22; primary source slide 27; Three Perspectives slide 28; Progress Check slide 29).</w:t>
            </w:r>
          </w:p>
        </w:tc>
      </w:tr>
      <w:tr>
        <w:tc>
          <w:tcPr>
            <w:tcW w:type="dxa" w:w="4320"/>
            <w:shd w:val="clear" w:fill="F1EFE6"/>
          </w:tcPr>
          <w:p>
            <w:r>
              <w:rPr>
                <w:b/>
                <w:color w:val="1A2332"/>
                <w:sz w:val="21"/>
              </w:rPr>
              <w:t>Guiding questions</w:t>
            </w:r>
          </w:p>
        </w:tc>
        <w:tc>
          <w:tcPr>
            <w:tcW w:type="dxa" w:w="4320"/>
          </w:tcPr>
          <w:p>
            <w:r>
              <w:rPr>
                <w:sz w:val="21"/>
              </w:rPr>
              <w:t>Who benefited?  Who bore the costs?  Who decided?  (Use these three historian questions as your note cues.)</w:t>
            </w:r>
          </w:p>
        </w:tc>
      </w:tr>
      <w:tr>
        <w:tc>
          <w:tcPr>
            <w:tcW w:type="dxa" w:w="4320"/>
            <w:shd w:val="clear" w:fill="F1EFE6"/>
          </w:tcPr>
          <w:p>
            <w:r>
              <w:rPr>
                <w:b/>
                <w:color w:val="1A2332"/>
                <w:sz w:val="21"/>
              </w:rPr>
              <w:t>Key terms</w:t>
            </w:r>
          </w:p>
        </w:tc>
        <w:tc>
          <w:tcPr>
            <w:tcW w:type="dxa" w:w="4320"/>
          </w:tcPr>
          <w:p>
            <w:r>
              <w:rPr>
                <w:sz w:val="21"/>
              </w:rPr>
              <w:t>Compromise of 1877; Jim Crow Laws; Disenfranchisement</w:t>
            </w:r>
          </w:p>
        </w:tc>
      </w:tr>
      <w:tr>
        <w:tc>
          <w:tcPr>
            <w:tcW w:type="dxa" w:w="4320"/>
            <w:shd w:val="clear" w:fill="F1EFE6"/>
          </w:tcPr>
          <w:p>
            <w:r>
              <w:rPr>
                <w:b/>
                <w:color w:val="1A2332"/>
                <w:sz w:val="21"/>
              </w:rPr>
              <w:t>Primary source</w:t>
            </w:r>
          </w:p>
        </w:tc>
        <w:tc>
          <w:tcPr>
            <w:tcW w:type="dxa" w:w="4320"/>
          </w:tcPr>
          <w:p>
            <w:r>
              <w:rPr>
                <w:sz w:val="21"/>
              </w:rPr>
              <w:t>See “Source It First,” Student Deck slide 27.</w:t>
            </w:r>
          </w:p>
        </w:tc>
      </w:tr>
    </w:tbl>
    <w:p>
      <w:pPr>
        <w:pStyle w:val="Heading2"/>
      </w:pPr>
      <w:r>
        <w:t>Cornell Notes (25 / 75)</w:t>
      </w:r>
    </w:p>
    <w:tbl>
      <w:tblPr>
        <w:tblStyle w:val="TableGrid"/>
        <w:tblW w:type="auto" w:w="0"/>
        <w:tblLook w:firstColumn="1" w:firstRow="1" w:lastColumn="0" w:lastRow="0" w:noHBand="0" w:noVBand="1" w:val="04A0"/>
      </w:tblPr>
      <w:tblGrid>
        <w:gridCol w:w="2736"/>
        <w:gridCol w:w="6624"/>
      </w:tblGrid>
      <w:tr>
        <w:tc>
          <w:tcPr>
            <w:tcW w:type="dxa" w:w="4320"/>
            <w:shd w:val="clear" w:fill="FBF9F2"/>
          </w:tcPr>
          <w:p>
            <w:r>
              <w:rPr>
                <w:b/>
                <w:color w:val="5C6470"/>
                <w:sz w:val="19"/>
              </w:rPr>
              <w:t>CUES / QUESTIONS</w:t>
            </w:r>
          </w:p>
          <w:p>
            <w:pPr>
              <w:spacing w:after="280"/>
            </w:pPr>
            <w:r>
              <w:rPr>
                <w:sz w:val="21"/>
              </w:rPr>
              <w:t>Who benefited?</w:t>
            </w:r>
          </w:p>
          <w:p>
            <w:pPr>
              <w:spacing w:after="280"/>
            </w:pPr>
            <w:r>
              <w:rPr>
                <w:sz w:val="21"/>
              </w:rPr>
              <w:t>Who bore the costs?</w:t>
            </w:r>
          </w:p>
          <w:p>
            <w:pPr>
              <w:spacing w:after="280"/>
            </w:pPr>
            <w:r>
              <w:rPr>
                <w:sz w:val="21"/>
              </w:rPr>
              <w:t>Who decided?</w:t>
            </w:r>
          </w:p>
          <w:p>
            <w:pPr>
              <w:spacing w:after="280"/>
            </w:pPr>
            <w:r>
              <w:rPr>
                <w:sz w:val="21"/>
              </w:rPr>
              <w:t>Key term:</w:t>
            </w:r>
          </w:p>
          <w:p>
            <w:pPr>
              <w:spacing w:after="280"/>
            </w:pPr>
            <w:r>
              <w:rPr>
                <w:sz w:val="21"/>
              </w:rPr>
              <w:t>Key term:</w:t>
            </w:r>
          </w:p>
        </w:tc>
        <w:tc>
          <w:tcPr>
            <w:tcW w:type="dxa" w:w="4320"/>
          </w:tcPr>
          <w:p>
            <w:r>
              <w:rPr>
                <w:b/>
                <w:color w:val="5C6470"/>
                <w:sz w:val="19"/>
              </w:rPr>
              <w:t>NOTES</w:t>
            </w:r>
          </w:p>
          <w:p/>
          <w:p/>
          <w:p/>
          <w:p/>
          <w:p/>
          <w:p/>
          <w:p/>
        </w:tc>
      </w:tr>
    </w:tbl>
    <w:tbl>
      <w:tblPr>
        <w:tblStyle w:val="TableGrid"/>
        <w:tblW w:type="auto" w:w="0"/>
        <w:tblLook w:firstColumn="1" w:firstRow="1" w:lastColumn="0" w:lastRow="0" w:noHBand="0" w:noVBand="1" w:val="04A0"/>
      </w:tblPr>
      <w:tblGrid>
        <w:gridCol w:w="8640"/>
      </w:tblGrid>
      <w:tr>
        <w:tc>
          <w:tcPr>
            <w:tcW w:type="dxa" w:w="8640"/>
            <w:shd w:val="clear" w:fill="F1EFE6"/>
          </w:tcPr>
          <w:p>
            <w:r>
              <w:rPr>
                <w:b/>
                <w:sz w:val="20"/>
              </w:rPr>
              <w:t xml:space="preserve">SUMMARY (2–3 sentences): </w:t>
            </w:r>
          </w:p>
          <w:p/>
          <w:p/>
        </w:tc>
      </w:tr>
    </w:tbl>
    <w:p>
      <w:pPr>
        <w:pStyle w:val="Heading2"/>
      </w:pPr>
      <w:r>
        <w:t>Key Vocabulary · Language Support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A2332"/>
          </w:tcPr>
          <w:p>
            <w:r>
              <w:rPr>
                <w:b/>
                <w:color w:val="FFFFFF"/>
                <w:sz w:val="19"/>
              </w:rPr>
              <w:t>Term (say / Spanish)</w:t>
            </w:r>
          </w:p>
        </w:tc>
        <w:tc>
          <w:tcPr>
            <w:tcW w:type="dxa" w:w="2880"/>
            <w:shd w:val="clear" w:fill="1A2332"/>
          </w:tcPr>
          <w:p>
            <w:r>
              <w:rPr>
                <w:b/>
                <w:color w:val="FFFFFF"/>
                <w:sz w:val="19"/>
              </w:rPr>
              <w:t>Definition</w:t>
            </w:r>
          </w:p>
        </w:tc>
        <w:tc>
          <w:tcPr>
            <w:tcW w:type="dxa" w:w="2880"/>
            <w:shd w:val="clear" w:fill="1A2332"/>
          </w:tcPr>
          <w:p>
            <w:r>
              <w:rPr>
                <w:b/>
                <w:color w:val="FFFFFF"/>
                <w:sz w:val="19"/>
              </w:rPr>
              <w:t>Use it</w:t>
            </w:r>
          </w:p>
        </w:tc>
      </w:tr>
      <w:tr>
        <w:tc>
          <w:tcPr>
            <w:tcW w:type="dxa" w:w="2880"/>
          </w:tcPr>
          <w:p>
            <w:r>
              <w:rPr>
                <w:b/>
                <w:sz w:val="21"/>
              </w:rPr>
              <w:t>Compromise of 1877</w:t>
              <w:br/>
            </w:r>
            <w:r>
              <w:rPr>
                <w:color w:val="5C6470"/>
                <w:sz w:val="18"/>
              </w:rPr>
              <w:t>say: KOM-pruh-myz</w:t>
              <w:br/>
              <w:t>ES: Compromiso de 1877</w:t>
            </w:r>
          </w:p>
        </w:tc>
        <w:tc>
          <w:tcPr>
            <w:tcW w:type="dxa" w:w="2880"/>
          </w:tcPr>
          <w:p>
            <w:r>
              <w:rPr>
                <w:sz w:val="20"/>
              </w:rPr>
              <w:t>An informal agreement resolving the disputed 1876 election: Rutherford B. Hayes became president in exchange for removing federal troops from the South, effectively ending Reconstruction.</w:t>
            </w:r>
          </w:p>
        </w:tc>
        <w:tc>
          <w:tcPr>
            <w:tcW w:type="dxa" w:w="2880"/>
          </w:tcPr>
          <w:p>
            <w:r>
              <w:rPr>
                <w:sz w:val="20"/>
              </w:rPr>
            </w:r>
          </w:p>
        </w:tc>
      </w:tr>
      <w:tr>
        <w:tc>
          <w:tcPr>
            <w:tcW w:type="dxa" w:w="2880"/>
          </w:tcPr>
          <w:p>
            <w:r>
              <w:rPr>
                <w:b/>
                <w:sz w:val="21"/>
              </w:rPr>
              <w:t>Jim Crow Laws</w:t>
              <w:br/>
            </w:r>
            <w:r>
              <w:rPr>
                <w:color w:val="5C6470"/>
                <w:sz w:val="18"/>
              </w:rPr>
              <w:t>say: jim kroh</w:t>
              <w:br/>
              <w:t>ES: Leyes de Jim Crow</w:t>
            </w:r>
          </w:p>
        </w:tc>
        <w:tc>
          <w:tcPr>
            <w:tcW w:type="dxa" w:w="2880"/>
          </w:tcPr>
          <w:p>
            <w:r>
              <w:rPr>
                <w:sz w:val="20"/>
              </w:rPr>
              <w:t>State and local laws enacted primarily in the South between 1877 and the 1960s that enforced racial segregation and denied African Americans their constitutional rights.</w:t>
            </w:r>
          </w:p>
        </w:tc>
        <w:tc>
          <w:tcPr>
            <w:tcW w:type="dxa" w:w="2880"/>
          </w:tcPr>
          <w:p>
            <w:r>
              <w:rPr>
                <w:sz w:val="20"/>
              </w:rPr>
            </w:r>
          </w:p>
        </w:tc>
      </w:tr>
      <w:tr>
        <w:tc>
          <w:tcPr>
            <w:tcW w:type="dxa" w:w="2880"/>
          </w:tcPr>
          <w:p>
            <w:r>
              <w:rPr>
                <w:b/>
                <w:sz w:val="21"/>
              </w:rPr>
              <w:t>Disenfranchisement</w:t>
              <w:br/>
            </w:r>
            <w:r>
              <w:rPr>
                <w:color w:val="5C6470"/>
                <w:sz w:val="18"/>
              </w:rPr>
              <w:t>say: dis-en-FRAN-chyz-ment</w:t>
              <w:br/>
              <w:t>ES: Privación del Derecho al Voto</w:t>
            </w:r>
          </w:p>
        </w:tc>
        <w:tc>
          <w:tcPr>
            <w:tcW w:type="dxa" w:w="2880"/>
          </w:tcPr>
          <w:p>
            <w:r>
              <w:rPr>
                <w:sz w:val="20"/>
              </w:rPr>
              <w:t>The systematic denial of voting rights through poll taxes, literacy tests, grandfather clauses, and violence, primarily targeting African American voters.</w:t>
            </w:r>
          </w:p>
        </w:tc>
        <w:tc>
          <w:tcPr>
            <w:tcW w:type="dxa" w:w="2880"/>
          </w:tcPr>
          <w:p>
            <w:r>
              <w:rPr>
                <w:sz w:val="20"/>
              </w:rPr>
            </w:r>
          </w:p>
        </w:tc>
      </w:tr>
    </w:tbl>
    <w:p>
      <w:pPr>
        <w:pStyle w:val="Heading2"/>
      </w:pPr>
      <w:r>
        <w:t>Transfer Check</w:t>
      </w:r>
    </w:p>
    <w:p>
      <w:pPr>
        <w:spacing w:after="80" w:before="0"/>
      </w:pPr>
      <w:r>
        <w:rPr>
          <w:b/>
          <w:i w:val="0"/>
          <w:color w:val="1F2430"/>
          <w:sz w:val="21"/>
        </w:rPr>
        <w:t>[u1-us03-dok3-tc · DOK 3 · pre-field-test]  The Plessy majority reasoned that “separate” facilities did not make one race inferior. Which later argument most directly challenges that reasoning?</w:t>
      </w:r>
    </w:p>
    <w:p>
      <w:pPr>
        <w:spacing w:after="60"/>
        <w:ind w:left="432"/>
      </w:pPr>
      <w:r>
        <w:rPr>
          <w:b/>
          <w:sz w:val="21"/>
        </w:rPr>
        <w:t xml:space="preserve">A.  </w:t>
      </w:r>
      <w:r>
        <w:rPr>
          <w:sz w:val="21"/>
        </w:rPr>
        <w:t>That segregation was acceptable as long as both facilities were physically identical.</w:t>
      </w:r>
    </w:p>
    <w:p>
      <w:pPr>
        <w:spacing w:after="60"/>
        <w:ind w:left="432"/>
      </w:pPr>
      <w:r>
        <w:rPr>
          <w:b/>
          <w:sz w:val="21"/>
        </w:rPr>
        <w:t xml:space="preserve">B.  </w:t>
      </w:r>
      <w:r>
        <w:rPr>
          <w:sz w:val="21"/>
        </w:rPr>
        <w:t>That the Constitution explicitly required racial separation.</w:t>
      </w:r>
    </w:p>
    <w:p>
      <w:pPr>
        <w:spacing w:after="60"/>
        <w:ind w:left="432"/>
      </w:pPr>
      <w:r>
        <w:rPr>
          <w:b/>
          <w:sz w:val="21"/>
        </w:rPr>
        <w:t xml:space="preserve">C.  </w:t>
      </w:r>
      <w:r>
        <w:rPr>
          <w:sz w:val="21"/>
        </w:rPr>
        <w:t>That state-enforced separation itself signals and enforces inequality, regardless of facility quality.</w:t>
      </w:r>
    </w:p>
    <w:p>
      <w:pPr>
        <w:spacing w:after="60"/>
        <w:ind w:left="432"/>
      </w:pPr>
      <w:r>
        <w:rPr>
          <w:b/>
          <w:sz w:val="21"/>
        </w:rPr>
        <w:t xml:space="preserve">D.  </w:t>
      </w:r>
      <w:r>
        <w:rPr>
          <w:sz w:val="21"/>
        </w:rPr>
        <w:t>That African Americans had freely chosen separate facilities.</w:t>
      </w:r>
    </w:p>
    <w:p>
      <w:pPr>
        <w:spacing w:after="80" w:before="0"/>
      </w:pPr>
      <w:r>
        <w:rPr>
          <w:b w:val="0"/>
          <w:i/>
          <w:color w:val="5C6470"/>
          <w:sz w:val="19"/>
        </w:rPr>
        <w:t>RESPONSE CHOICE — answer by writing, saying/recording, or diagramming. Answer key is in the Teacher Guide (kept separate).</w:t>
      </w:r>
    </w:p>
    <w:p>
      <w:r>
        <w:br w:type="page"/>
      </w:r>
    </w:p>
    <w:p>
      <w:pPr>
        <w:pStyle w:val="Heading1"/>
      </w:pPr>
      <w:r>
        <w:t>US.04 — Gilded Age Politics and Economics</w:t>
      </w:r>
    </w:p>
    <w:p>
      <w:pPr>
        <w:pStyle w:val="Heading2"/>
      </w:pPr>
      <w:r>
        <w:t>Cornell Universal Front</w:t>
      </w:r>
    </w:p>
    <w:tbl>
      <w:tblPr>
        <w:tblStyle w:val="TableGrid"/>
        <w:tblW w:type="auto" w:w="0"/>
        <w:tblLook w:firstColumn="1" w:firstRow="1" w:lastColumn="0" w:lastRow="0" w:noHBand="0" w:noVBand="1" w:val="04A0"/>
      </w:tblPr>
      <w:tblGrid>
        <w:gridCol w:w="2448"/>
        <w:gridCol w:w="6912"/>
      </w:tblGrid>
      <w:tr>
        <w:tc>
          <w:tcPr>
            <w:tcW w:type="dxa" w:w="4320"/>
            <w:shd w:val="clear" w:fill="F1EFE6"/>
          </w:tcPr>
          <w:p>
            <w:r>
              <w:rPr>
                <w:b/>
                <w:color w:val="1A2332"/>
                <w:sz w:val="21"/>
              </w:rPr>
              <w:t>TN Standard</w:t>
            </w:r>
          </w:p>
        </w:tc>
        <w:tc>
          <w:tcPr>
            <w:tcW w:type="dxa" w:w="4320"/>
          </w:tcPr>
          <w:p>
            <w:r>
              <w:rPr>
                <w:sz w:val="21"/>
              </w:rPr>
              <w:t>Analyze the causes and consequences of Gilded Age politics and economics as well as the significance of the rise of political machines, major scandals, civil service reform, and the economic difference between farmers, wage earners, and industrial capitalists, including the following: Boss Tweed, Thomas Nast, Credit Mobilier, Spoils system and President James A. Garfield’s assassination, Pendleton Act, Interstate Commerce Act. (C, E, G, H, P)</w:t>
            </w:r>
          </w:p>
        </w:tc>
      </w:tr>
      <w:tr>
        <w:tc>
          <w:tcPr>
            <w:tcW w:type="dxa" w:w="4320"/>
            <w:shd w:val="clear" w:fill="F1EFE6"/>
          </w:tcPr>
          <w:p>
            <w:r>
              <w:rPr>
                <w:b/>
                <w:color w:val="1A2332"/>
                <w:sz w:val="21"/>
              </w:rPr>
              <w:t>I Can</w:t>
            </w:r>
          </w:p>
        </w:tc>
        <w:tc>
          <w:tcPr>
            <w:tcW w:type="dxa" w:w="4320"/>
          </w:tcPr>
          <w:p>
            <w:r>
              <w:rPr>
                <w:sz w:val="21"/>
              </w:rPr>
              <w:t>I can analyze the causes and consequences of Gilded Age politics and economics as well as the significance of the rise of political machines, major scandals, civil service reform, and the economic difference between farmers, wage earners, and industrial capitalists, including the following: Boss Tweed, Thomas Nast, Credit Mobilier, Spoils system and President James A. Garfield’s assassination, Pendleton Act, Interstate Commerce Act.</w:t>
            </w:r>
          </w:p>
        </w:tc>
      </w:tr>
      <w:tr>
        <w:tc>
          <w:tcPr>
            <w:tcW w:type="dxa" w:w="4320"/>
            <w:shd w:val="clear" w:fill="F1EFE6"/>
          </w:tcPr>
          <w:p>
            <w:r>
              <w:rPr>
                <w:b/>
                <w:color w:val="1A2332"/>
                <w:sz w:val="21"/>
              </w:rPr>
              <w:t>Direct-teaching</w:t>
            </w:r>
          </w:p>
        </w:tc>
        <w:tc>
          <w:tcPr>
            <w:tcW w:type="dxa" w:w="4320"/>
          </w:tcPr>
          <w:p>
            <w:r>
              <w:rPr>
                <w:sz w:val="21"/>
              </w:rPr>
              <w:t>Student (Lean) Deck slides 32–35 (vocabulary slide 31; primary source slide 36; Three Perspectives slide 37; Progress Check slide 38).</w:t>
            </w:r>
          </w:p>
        </w:tc>
      </w:tr>
      <w:tr>
        <w:tc>
          <w:tcPr>
            <w:tcW w:type="dxa" w:w="4320"/>
            <w:shd w:val="clear" w:fill="F1EFE6"/>
          </w:tcPr>
          <w:p>
            <w:r>
              <w:rPr>
                <w:b/>
                <w:color w:val="1A2332"/>
                <w:sz w:val="21"/>
              </w:rPr>
              <w:t>Guiding questions</w:t>
            </w:r>
          </w:p>
        </w:tc>
        <w:tc>
          <w:tcPr>
            <w:tcW w:type="dxa" w:w="4320"/>
          </w:tcPr>
          <w:p>
            <w:r>
              <w:rPr>
                <w:sz w:val="21"/>
              </w:rPr>
              <w:t>Who benefited?  Who bore the costs?  Who decided?  (Use these three historian questions as your note cues.)</w:t>
            </w:r>
          </w:p>
        </w:tc>
      </w:tr>
      <w:tr>
        <w:tc>
          <w:tcPr>
            <w:tcW w:type="dxa" w:w="4320"/>
            <w:shd w:val="clear" w:fill="F1EFE6"/>
          </w:tcPr>
          <w:p>
            <w:r>
              <w:rPr>
                <w:b/>
                <w:color w:val="1A2332"/>
                <w:sz w:val="21"/>
              </w:rPr>
              <w:t>Key terms</w:t>
            </w:r>
          </w:p>
        </w:tc>
        <w:tc>
          <w:tcPr>
            <w:tcW w:type="dxa" w:w="4320"/>
          </w:tcPr>
          <w:p>
            <w:r>
              <w:rPr>
                <w:sz w:val="21"/>
              </w:rPr>
              <w:t>Gilded Age; Political Machines; Spoils System</w:t>
            </w:r>
          </w:p>
        </w:tc>
      </w:tr>
      <w:tr>
        <w:tc>
          <w:tcPr>
            <w:tcW w:type="dxa" w:w="4320"/>
            <w:shd w:val="clear" w:fill="F1EFE6"/>
          </w:tcPr>
          <w:p>
            <w:r>
              <w:rPr>
                <w:b/>
                <w:color w:val="1A2332"/>
                <w:sz w:val="21"/>
              </w:rPr>
              <w:t>Primary source</w:t>
            </w:r>
          </w:p>
        </w:tc>
        <w:tc>
          <w:tcPr>
            <w:tcW w:type="dxa" w:w="4320"/>
          </w:tcPr>
          <w:p>
            <w:r>
              <w:rPr>
                <w:sz w:val="21"/>
              </w:rPr>
              <w:t>See “Source It First,” Student Deck slide 36.</w:t>
            </w:r>
          </w:p>
        </w:tc>
      </w:tr>
    </w:tbl>
    <w:p>
      <w:pPr>
        <w:pStyle w:val="Heading2"/>
      </w:pPr>
      <w:r>
        <w:t>Cornell Notes (25 / 75)</w:t>
      </w:r>
    </w:p>
    <w:tbl>
      <w:tblPr>
        <w:tblStyle w:val="TableGrid"/>
        <w:tblW w:type="auto" w:w="0"/>
        <w:tblLook w:firstColumn="1" w:firstRow="1" w:lastColumn="0" w:lastRow="0" w:noHBand="0" w:noVBand="1" w:val="04A0"/>
      </w:tblPr>
      <w:tblGrid>
        <w:gridCol w:w="2736"/>
        <w:gridCol w:w="6624"/>
      </w:tblGrid>
      <w:tr>
        <w:tc>
          <w:tcPr>
            <w:tcW w:type="dxa" w:w="4320"/>
            <w:shd w:val="clear" w:fill="FBF9F2"/>
          </w:tcPr>
          <w:p>
            <w:r>
              <w:rPr>
                <w:b/>
                <w:color w:val="5C6470"/>
                <w:sz w:val="19"/>
              </w:rPr>
              <w:t>CUES / QUESTIONS</w:t>
            </w:r>
          </w:p>
          <w:p>
            <w:pPr>
              <w:spacing w:after="280"/>
            </w:pPr>
            <w:r>
              <w:rPr>
                <w:sz w:val="21"/>
              </w:rPr>
              <w:t>Who benefited?</w:t>
            </w:r>
          </w:p>
          <w:p>
            <w:pPr>
              <w:spacing w:after="280"/>
            </w:pPr>
            <w:r>
              <w:rPr>
                <w:sz w:val="21"/>
              </w:rPr>
              <w:t>Who bore the costs?</w:t>
            </w:r>
          </w:p>
          <w:p>
            <w:pPr>
              <w:spacing w:after="280"/>
            </w:pPr>
            <w:r>
              <w:rPr>
                <w:sz w:val="21"/>
              </w:rPr>
              <w:t>Who decided?</w:t>
            </w:r>
          </w:p>
          <w:p>
            <w:pPr>
              <w:spacing w:after="280"/>
            </w:pPr>
            <w:r>
              <w:rPr>
                <w:sz w:val="21"/>
              </w:rPr>
              <w:t>Key term:</w:t>
            </w:r>
          </w:p>
          <w:p>
            <w:pPr>
              <w:spacing w:after="280"/>
            </w:pPr>
            <w:r>
              <w:rPr>
                <w:sz w:val="21"/>
              </w:rPr>
              <w:t>Key term:</w:t>
            </w:r>
          </w:p>
        </w:tc>
        <w:tc>
          <w:tcPr>
            <w:tcW w:type="dxa" w:w="4320"/>
          </w:tcPr>
          <w:p>
            <w:r>
              <w:rPr>
                <w:b/>
                <w:color w:val="5C6470"/>
                <w:sz w:val="19"/>
              </w:rPr>
              <w:t>NOTES</w:t>
            </w:r>
          </w:p>
          <w:p/>
          <w:p/>
          <w:p/>
          <w:p/>
          <w:p/>
          <w:p/>
          <w:p/>
        </w:tc>
      </w:tr>
    </w:tbl>
    <w:tbl>
      <w:tblPr>
        <w:tblStyle w:val="TableGrid"/>
        <w:tblW w:type="auto" w:w="0"/>
        <w:tblLook w:firstColumn="1" w:firstRow="1" w:lastColumn="0" w:lastRow="0" w:noHBand="0" w:noVBand="1" w:val="04A0"/>
      </w:tblPr>
      <w:tblGrid>
        <w:gridCol w:w="8640"/>
      </w:tblGrid>
      <w:tr>
        <w:tc>
          <w:tcPr>
            <w:tcW w:type="dxa" w:w="8640"/>
            <w:shd w:val="clear" w:fill="F1EFE6"/>
          </w:tcPr>
          <w:p>
            <w:r>
              <w:rPr>
                <w:b/>
                <w:sz w:val="20"/>
              </w:rPr>
              <w:t xml:space="preserve">SUMMARY (2–3 sentences): </w:t>
            </w:r>
          </w:p>
          <w:p/>
          <w:p/>
        </w:tc>
      </w:tr>
    </w:tbl>
    <w:p>
      <w:pPr>
        <w:pStyle w:val="Heading2"/>
      </w:pPr>
      <w:r>
        <w:t>Key Vocabulary · Language Support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A2332"/>
          </w:tcPr>
          <w:p>
            <w:r>
              <w:rPr>
                <w:b/>
                <w:color w:val="FFFFFF"/>
                <w:sz w:val="19"/>
              </w:rPr>
              <w:t>Term (say / Spanish)</w:t>
            </w:r>
          </w:p>
        </w:tc>
        <w:tc>
          <w:tcPr>
            <w:tcW w:type="dxa" w:w="2880"/>
            <w:shd w:val="clear" w:fill="1A2332"/>
          </w:tcPr>
          <w:p>
            <w:r>
              <w:rPr>
                <w:b/>
                <w:color w:val="FFFFFF"/>
                <w:sz w:val="19"/>
              </w:rPr>
              <w:t>Definition</w:t>
            </w:r>
          </w:p>
        </w:tc>
        <w:tc>
          <w:tcPr>
            <w:tcW w:type="dxa" w:w="2880"/>
            <w:shd w:val="clear" w:fill="1A2332"/>
          </w:tcPr>
          <w:p>
            <w:r>
              <w:rPr>
                <w:b/>
                <w:color w:val="FFFFFF"/>
                <w:sz w:val="19"/>
              </w:rPr>
              <w:t>Use it</w:t>
            </w:r>
          </w:p>
        </w:tc>
      </w:tr>
      <w:tr>
        <w:tc>
          <w:tcPr>
            <w:tcW w:type="dxa" w:w="2880"/>
          </w:tcPr>
          <w:p>
            <w:r>
              <w:rPr>
                <w:b/>
                <w:sz w:val="21"/>
              </w:rPr>
              <w:t>Gilded Age</w:t>
              <w:br/>
            </w:r>
            <w:r>
              <w:rPr>
                <w:color w:val="5C6470"/>
                <w:sz w:val="18"/>
              </w:rPr>
              <w:t>say: GIL-dud ayj</w:t>
              <w:br/>
              <w:t>ES: Edad Dorada</w:t>
            </w:r>
          </w:p>
        </w:tc>
        <w:tc>
          <w:tcPr>
            <w:tcW w:type="dxa" w:w="2880"/>
          </w:tcPr>
          <w:p>
            <w:r>
              <w:rPr>
                <w:sz w:val="20"/>
              </w:rPr>
              <w:t>The period from roughly 1870 to 1900 of rapid growth, industrialization, and extreme wealth inequality — named by Mark Twain to suggest a thin gold layer over deep social problems.</w:t>
            </w:r>
          </w:p>
        </w:tc>
        <w:tc>
          <w:tcPr>
            <w:tcW w:type="dxa" w:w="2880"/>
          </w:tcPr>
          <w:p>
            <w:r>
              <w:rPr>
                <w:sz w:val="20"/>
              </w:rPr>
            </w:r>
          </w:p>
        </w:tc>
      </w:tr>
      <w:tr>
        <w:tc>
          <w:tcPr>
            <w:tcW w:type="dxa" w:w="2880"/>
          </w:tcPr>
          <w:p>
            <w:r>
              <w:rPr>
                <w:b/>
                <w:sz w:val="21"/>
              </w:rPr>
              <w:t>Political Machines</w:t>
              <w:br/>
            </w:r>
            <w:r>
              <w:rPr>
                <w:color w:val="5C6470"/>
                <w:sz w:val="18"/>
              </w:rPr>
              <w:t>say: puh-LIT-ih-kul muh-SHEENZ</w:t>
              <w:br/>
              <w:t>ES: Máquinas Políticas</w:t>
            </w:r>
          </w:p>
        </w:tc>
        <w:tc>
          <w:tcPr>
            <w:tcW w:type="dxa" w:w="2880"/>
          </w:tcPr>
          <w:p>
            <w:r>
              <w:rPr>
                <w:sz w:val="20"/>
              </w:rPr>
              <w:t>Corrupt organizations that controlled city politics through patronage, bribery, and vote manipulation, often trading services to immigrants for political support.</w:t>
            </w:r>
          </w:p>
        </w:tc>
        <w:tc>
          <w:tcPr>
            <w:tcW w:type="dxa" w:w="2880"/>
          </w:tcPr>
          <w:p>
            <w:r>
              <w:rPr>
                <w:sz w:val="20"/>
              </w:rPr>
            </w:r>
          </w:p>
        </w:tc>
      </w:tr>
      <w:tr>
        <w:tc>
          <w:tcPr>
            <w:tcW w:type="dxa" w:w="2880"/>
          </w:tcPr>
          <w:p>
            <w:r>
              <w:rPr>
                <w:b/>
                <w:sz w:val="21"/>
              </w:rPr>
              <w:t>Spoils System</w:t>
              <w:br/>
            </w:r>
            <w:r>
              <w:rPr>
                <w:color w:val="5C6470"/>
                <w:sz w:val="18"/>
              </w:rPr>
              <w:t>say: spoylz SIS-tum</w:t>
              <w:br/>
              <w:t>ES: Sistema de Botín</w:t>
            </w:r>
          </w:p>
        </w:tc>
        <w:tc>
          <w:tcPr>
            <w:tcW w:type="dxa" w:w="2880"/>
          </w:tcPr>
          <w:p>
            <w:r>
              <w:rPr>
                <w:sz w:val="20"/>
              </w:rPr>
              <w:t>The practice of rewarding political supporters with government jobs regardless of qualifications — 'to the victor belong the spoils.'</w:t>
            </w:r>
          </w:p>
        </w:tc>
        <w:tc>
          <w:tcPr>
            <w:tcW w:type="dxa" w:w="2880"/>
          </w:tcPr>
          <w:p>
            <w:r>
              <w:rPr>
                <w:sz w:val="20"/>
              </w:rPr>
            </w:r>
          </w:p>
        </w:tc>
      </w:tr>
    </w:tbl>
    <w:p>
      <w:pPr>
        <w:pStyle w:val="Heading2"/>
      </w:pPr>
      <w:r>
        <w:t>Transfer Check</w:t>
      </w:r>
    </w:p>
    <w:p>
      <w:pPr>
        <w:spacing w:after="80" w:before="0"/>
      </w:pPr>
      <w:r>
        <w:rPr>
          <w:b/>
          <w:i w:val="0"/>
          <w:color w:val="1F2430"/>
          <w:sz w:val="21"/>
        </w:rPr>
        <w:t>[u1-us04-dok2-tc · DOK 2 · pre-field-test]  How does Bryce’s description of the political “Boss” help explain why the Pendleton Civil Service Reform Act was needed?</w:t>
      </w:r>
    </w:p>
    <w:p>
      <w:pPr>
        <w:spacing w:after="60"/>
        <w:ind w:left="432"/>
      </w:pPr>
      <w:r>
        <w:rPr>
          <w:b/>
          <w:sz w:val="21"/>
        </w:rPr>
        <w:t xml:space="preserve">A.  </w:t>
      </w:r>
      <w:r>
        <w:rPr>
          <w:sz w:val="21"/>
        </w:rPr>
        <w:t>Both reveal a spoils system in which offices and contracts were handed out for political loyalty, which reformers tried to end.</w:t>
      </w:r>
    </w:p>
    <w:p>
      <w:pPr>
        <w:spacing w:after="60"/>
        <w:ind w:left="432"/>
      </w:pPr>
      <w:r>
        <w:rPr>
          <w:b/>
          <w:sz w:val="21"/>
        </w:rPr>
        <w:t xml:space="preserve">B.  </w:t>
      </w:r>
      <w:r>
        <w:rPr>
          <w:sz w:val="21"/>
        </w:rPr>
        <w:t>Both praise the political machines as honest and efficient.</w:t>
      </w:r>
    </w:p>
    <w:p>
      <w:pPr>
        <w:spacing w:after="60"/>
        <w:ind w:left="432"/>
      </w:pPr>
      <w:r>
        <w:rPr>
          <w:b/>
          <w:sz w:val="21"/>
        </w:rPr>
        <w:t xml:space="preserve">C.  </w:t>
      </w:r>
      <w:r>
        <w:rPr>
          <w:sz w:val="21"/>
        </w:rPr>
        <w:t>Both argue that government jobs should be sold to the highest bidder.</w:t>
      </w:r>
    </w:p>
    <w:p>
      <w:pPr>
        <w:spacing w:after="60"/>
        <w:ind w:left="432"/>
      </w:pPr>
      <w:r>
        <w:rPr>
          <w:b/>
          <w:sz w:val="21"/>
        </w:rPr>
        <w:t xml:space="preserve">D.  </w:t>
      </w:r>
      <w:r>
        <w:rPr>
          <w:sz w:val="21"/>
        </w:rPr>
        <w:t>Both were written after the spoils system ended.</w:t>
      </w:r>
    </w:p>
    <w:p>
      <w:pPr>
        <w:spacing w:after="80" w:before="0"/>
      </w:pPr>
      <w:r>
        <w:rPr>
          <w:b w:val="0"/>
          <w:i/>
          <w:color w:val="5C6470"/>
          <w:sz w:val="19"/>
        </w:rPr>
        <w:t>RESPONSE CHOICE — answer by writing, saying/recording, or diagramming. Answer key is in the Teacher Guide (kept separate).</w:t>
      </w:r>
    </w:p>
    <w:p>
      <w:r>
        <w:br w:type="page"/>
      </w:r>
    </w:p>
    <w:p>
      <w:pPr>
        <w:pStyle w:val="Heading1"/>
      </w:pPr>
      <w:r>
        <w:t>US.05 — Inventions &amp; Innovations of Business Leaders &amp; Entrepreneurs</w:t>
      </w:r>
    </w:p>
    <w:p>
      <w:pPr>
        <w:pStyle w:val="Heading2"/>
      </w:pPr>
      <w:r>
        <w:t>Cornell Universal Front</w:t>
      </w:r>
    </w:p>
    <w:tbl>
      <w:tblPr>
        <w:tblStyle w:val="TableGrid"/>
        <w:tblW w:type="auto" w:w="0"/>
        <w:tblLook w:firstColumn="1" w:firstRow="1" w:lastColumn="0" w:lastRow="0" w:noHBand="0" w:noVBand="1" w:val="04A0"/>
      </w:tblPr>
      <w:tblGrid>
        <w:gridCol w:w="2448"/>
        <w:gridCol w:w="6912"/>
      </w:tblGrid>
      <w:tr>
        <w:tc>
          <w:tcPr>
            <w:tcW w:type="dxa" w:w="4320"/>
            <w:shd w:val="clear" w:fill="F1EFE6"/>
          </w:tcPr>
          <w:p>
            <w:r>
              <w:rPr>
                <w:b/>
                <w:color w:val="1A2332"/>
                <w:sz w:val="21"/>
              </w:rPr>
              <w:t>TN Standard</w:t>
            </w:r>
          </w:p>
        </w:tc>
        <w:tc>
          <w:tcPr>
            <w:tcW w:type="dxa" w:w="4320"/>
          </w:tcPr>
          <w:p>
            <w:r>
              <w:rPr>
                <w:sz w:val="21"/>
              </w:rPr>
              <w:t>Describe the changes in American life that resulted from the inventions and innovations of business leaders and entrepreneurs of the period, including the significance of: Alexander Graham Bell, Henry Bessemer, Andrew Carnegie, Thomas Edison, J.P. Morgan, John D. Rockefeller, Nikola Tesla, Cornelius Vanderbilt, Madam C.J. Walker, George Washington Carver. (C, E, H)</w:t>
            </w:r>
          </w:p>
        </w:tc>
      </w:tr>
      <w:tr>
        <w:tc>
          <w:tcPr>
            <w:tcW w:type="dxa" w:w="4320"/>
            <w:shd w:val="clear" w:fill="F1EFE6"/>
          </w:tcPr>
          <w:p>
            <w:r>
              <w:rPr>
                <w:b/>
                <w:color w:val="1A2332"/>
                <w:sz w:val="21"/>
              </w:rPr>
              <w:t>I Can</w:t>
            </w:r>
          </w:p>
        </w:tc>
        <w:tc>
          <w:tcPr>
            <w:tcW w:type="dxa" w:w="4320"/>
          </w:tcPr>
          <w:p>
            <w:r>
              <w:rPr>
                <w:sz w:val="21"/>
              </w:rPr>
              <w:t>I can describe the changes in American life that resulted from the inventions and innovations of business leaders and entrepreneurs of the period, including the significance of: Alexander Graham Bell, Henry Bessemer, Andrew Carnegie, Thomas Edison, J.P. Morgan, John D. Rockefeller, Nikola Tesla, Cornelius Vanderbilt, Madam C.J. Walker, George Washington Carver.</w:t>
            </w:r>
          </w:p>
        </w:tc>
      </w:tr>
      <w:tr>
        <w:tc>
          <w:tcPr>
            <w:tcW w:type="dxa" w:w="4320"/>
            <w:shd w:val="clear" w:fill="F1EFE6"/>
          </w:tcPr>
          <w:p>
            <w:r>
              <w:rPr>
                <w:b/>
                <w:color w:val="1A2332"/>
                <w:sz w:val="21"/>
              </w:rPr>
              <w:t>Direct-teaching</w:t>
            </w:r>
          </w:p>
        </w:tc>
        <w:tc>
          <w:tcPr>
            <w:tcW w:type="dxa" w:w="4320"/>
          </w:tcPr>
          <w:p>
            <w:r>
              <w:rPr>
                <w:sz w:val="21"/>
              </w:rPr>
              <w:t>Student (Lean) Deck slides 41–43 (vocabulary slide 40; primary source slide 44; Three Perspectives slide 45; Progress Check slide 46).</w:t>
            </w:r>
          </w:p>
        </w:tc>
      </w:tr>
      <w:tr>
        <w:tc>
          <w:tcPr>
            <w:tcW w:type="dxa" w:w="4320"/>
            <w:shd w:val="clear" w:fill="F1EFE6"/>
          </w:tcPr>
          <w:p>
            <w:r>
              <w:rPr>
                <w:b/>
                <w:color w:val="1A2332"/>
                <w:sz w:val="21"/>
              </w:rPr>
              <w:t>Guiding questions</w:t>
            </w:r>
          </w:p>
        </w:tc>
        <w:tc>
          <w:tcPr>
            <w:tcW w:type="dxa" w:w="4320"/>
          </w:tcPr>
          <w:p>
            <w:r>
              <w:rPr>
                <w:sz w:val="21"/>
              </w:rPr>
              <w:t>Who benefited?  Who bore the costs?  Who decided?  (Use these three historian questions as your note cues.)</w:t>
            </w:r>
          </w:p>
        </w:tc>
      </w:tr>
      <w:tr>
        <w:tc>
          <w:tcPr>
            <w:tcW w:type="dxa" w:w="4320"/>
            <w:shd w:val="clear" w:fill="F1EFE6"/>
          </w:tcPr>
          <w:p>
            <w:r>
              <w:rPr>
                <w:b/>
                <w:color w:val="1A2332"/>
                <w:sz w:val="21"/>
              </w:rPr>
              <w:t>Key terms</w:t>
            </w:r>
          </w:p>
        </w:tc>
        <w:tc>
          <w:tcPr>
            <w:tcW w:type="dxa" w:w="4320"/>
          </w:tcPr>
          <w:p>
            <w:r>
              <w:rPr>
                <w:sz w:val="21"/>
              </w:rPr>
              <w:t>Robber Barons / Captains of Industry; Vertical Integration; Horizontal Integration</w:t>
            </w:r>
          </w:p>
        </w:tc>
      </w:tr>
      <w:tr>
        <w:tc>
          <w:tcPr>
            <w:tcW w:type="dxa" w:w="4320"/>
            <w:shd w:val="clear" w:fill="F1EFE6"/>
          </w:tcPr>
          <w:p>
            <w:r>
              <w:rPr>
                <w:b/>
                <w:color w:val="1A2332"/>
                <w:sz w:val="21"/>
              </w:rPr>
              <w:t>Primary source</w:t>
            </w:r>
          </w:p>
        </w:tc>
        <w:tc>
          <w:tcPr>
            <w:tcW w:type="dxa" w:w="4320"/>
          </w:tcPr>
          <w:p>
            <w:r>
              <w:rPr>
                <w:sz w:val="21"/>
              </w:rPr>
              <w:t>See “Source It First,” Student Deck slide 44.</w:t>
            </w:r>
          </w:p>
        </w:tc>
      </w:tr>
    </w:tbl>
    <w:p>
      <w:pPr>
        <w:pStyle w:val="Heading2"/>
      </w:pPr>
      <w:r>
        <w:t>Cornell Notes (25 / 75)</w:t>
      </w:r>
    </w:p>
    <w:tbl>
      <w:tblPr>
        <w:tblStyle w:val="TableGrid"/>
        <w:tblW w:type="auto" w:w="0"/>
        <w:tblLook w:firstColumn="1" w:firstRow="1" w:lastColumn="0" w:lastRow="0" w:noHBand="0" w:noVBand="1" w:val="04A0"/>
      </w:tblPr>
      <w:tblGrid>
        <w:gridCol w:w="2736"/>
        <w:gridCol w:w="6624"/>
      </w:tblGrid>
      <w:tr>
        <w:tc>
          <w:tcPr>
            <w:tcW w:type="dxa" w:w="4320"/>
            <w:shd w:val="clear" w:fill="FBF9F2"/>
          </w:tcPr>
          <w:p>
            <w:r>
              <w:rPr>
                <w:b/>
                <w:color w:val="5C6470"/>
                <w:sz w:val="19"/>
              </w:rPr>
              <w:t>CUES / QUESTIONS</w:t>
            </w:r>
          </w:p>
          <w:p>
            <w:pPr>
              <w:spacing w:after="280"/>
            </w:pPr>
            <w:r>
              <w:rPr>
                <w:sz w:val="21"/>
              </w:rPr>
              <w:t>Who benefited?</w:t>
            </w:r>
          </w:p>
          <w:p>
            <w:pPr>
              <w:spacing w:after="280"/>
            </w:pPr>
            <w:r>
              <w:rPr>
                <w:sz w:val="21"/>
              </w:rPr>
              <w:t>Who bore the costs?</w:t>
            </w:r>
          </w:p>
          <w:p>
            <w:pPr>
              <w:spacing w:after="280"/>
            </w:pPr>
            <w:r>
              <w:rPr>
                <w:sz w:val="21"/>
              </w:rPr>
              <w:t>Who decided?</w:t>
            </w:r>
          </w:p>
          <w:p>
            <w:pPr>
              <w:spacing w:after="280"/>
            </w:pPr>
            <w:r>
              <w:rPr>
                <w:sz w:val="21"/>
              </w:rPr>
              <w:t>Key term:</w:t>
            </w:r>
          </w:p>
          <w:p>
            <w:pPr>
              <w:spacing w:after="280"/>
            </w:pPr>
            <w:r>
              <w:rPr>
                <w:sz w:val="21"/>
              </w:rPr>
              <w:t>Key term:</w:t>
            </w:r>
          </w:p>
        </w:tc>
        <w:tc>
          <w:tcPr>
            <w:tcW w:type="dxa" w:w="4320"/>
          </w:tcPr>
          <w:p>
            <w:r>
              <w:rPr>
                <w:b/>
                <w:color w:val="5C6470"/>
                <w:sz w:val="19"/>
              </w:rPr>
              <w:t>NOTES</w:t>
            </w:r>
          </w:p>
          <w:p/>
          <w:p/>
          <w:p/>
          <w:p/>
          <w:p/>
          <w:p/>
          <w:p/>
        </w:tc>
      </w:tr>
    </w:tbl>
    <w:tbl>
      <w:tblPr>
        <w:tblStyle w:val="TableGrid"/>
        <w:tblW w:type="auto" w:w="0"/>
        <w:tblLook w:firstColumn="1" w:firstRow="1" w:lastColumn="0" w:lastRow="0" w:noHBand="0" w:noVBand="1" w:val="04A0"/>
      </w:tblPr>
      <w:tblGrid>
        <w:gridCol w:w="8640"/>
      </w:tblGrid>
      <w:tr>
        <w:tc>
          <w:tcPr>
            <w:tcW w:type="dxa" w:w="8640"/>
            <w:shd w:val="clear" w:fill="F1EFE6"/>
          </w:tcPr>
          <w:p>
            <w:r>
              <w:rPr>
                <w:b/>
                <w:sz w:val="20"/>
              </w:rPr>
              <w:t xml:space="preserve">SUMMARY (2–3 sentences): </w:t>
            </w:r>
          </w:p>
          <w:p/>
          <w:p/>
        </w:tc>
      </w:tr>
    </w:tbl>
    <w:p>
      <w:pPr>
        <w:pStyle w:val="Heading2"/>
      </w:pPr>
      <w:r>
        <w:t>Key Vocabulary · Language Support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A2332"/>
          </w:tcPr>
          <w:p>
            <w:r>
              <w:rPr>
                <w:b/>
                <w:color w:val="FFFFFF"/>
                <w:sz w:val="19"/>
              </w:rPr>
              <w:t>Term (say / Spanish)</w:t>
            </w:r>
          </w:p>
        </w:tc>
        <w:tc>
          <w:tcPr>
            <w:tcW w:type="dxa" w:w="2880"/>
            <w:shd w:val="clear" w:fill="1A2332"/>
          </w:tcPr>
          <w:p>
            <w:r>
              <w:rPr>
                <w:b/>
                <w:color w:val="FFFFFF"/>
                <w:sz w:val="19"/>
              </w:rPr>
              <w:t>Definition</w:t>
            </w:r>
          </w:p>
        </w:tc>
        <w:tc>
          <w:tcPr>
            <w:tcW w:type="dxa" w:w="2880"/>
            <w:shd w:val="clear" w:fill="1A2332"/>
          </w:tcPr>
          <w:p>
            <w:r>
              <w:rPr>
                <w:b/>
                <w:color w:val="FFFFFF"/>
                <w:sz w:val="19"/>
              </w:rPr>
              <w:t>Use it</w:t>
            </w:r>
          </w:p>
        </w:tc>
      </w:tr>
      <w:tr>
        <w:tc>
          <w:tcPr>
            <w:tcW w:type="dxa" w:w="2880"/>
          </w:tcPr>
          <w:p>
            <w:r>
              <w:rPr>
                <w:b/>
                <w:sz w:val="21"/>
              </w:rPr>
              <w:t>Robber Barons / Captains of Industry</w:t>
              <w:br/>
            </w:r>
            <w:r>
              <w:rPr>
                <w:color w:val="5C6470"/>
                <w:sz w:val="18"/>
              </w:rPr>
              <w:t>say: ROB-er BAIR-unz</w:t>
              <w:br/>
              <w:t>ES: Barones Ladrones / Capitanes de Industria</w:t>
            </w:r>
          </w:p>
        </w:tc>
        <w:tc>
          <w:tcPr>
            <w:tcW w:type="dxa" w:w="2880"/>
          </w:tcPr>
          <w:p>
            <w:r>
              <w:rPr>
                <w:sz w:val="20"/>
              </w:rPr>
              <w:t>Wealthy late-1800s industrialists who built massive business empires; critics called them 'robber barons,' supporters 'captains of industry.'</w:t>
            </w:r>
          </w:p>
        </w:tc>
        <w:tc>
          <w:tcPr>
            <w:tcW w:type="dxa" w:w="2880"/>
          </w:tcPr>
          <w:p>
            <w:r>
              <w:rPr>
                <w:sz w:val="20"/>
              </w:rPr>
            </w:r>
          </w:p>
        </w:tc>
      </w:tr>
      <w:tr>
        <w:tc>
          <w:tcPr>
            <w:tcW w:type="dxa" w:w="2880"/>
          </w:tcPr>
          <w:p>
            <w:r>
              <w:rPr>
                <w:b/>
                <w:sz w:val="21"/>
              </w:rPr>
              <w:t>Vertical Integration</w:t>
              <w:br/>
            </w:r>
            <w:r>
              <w:rPr>
                <w:color w:val="5C6470"/>
                <w:sz w:val="18"/>
              </w:rPr>
              <w:t>say: VUR-tih-kul in-teh-GRAY-shun</w:t>
              <w:br/>
              <w:t>ES: Integración Vertical</w:t>
            </w:r>
          </w:p>
        </w:tc>
        <w:tc>
          <w:tcPr>
            <w:tcW w:type="dxa" w:w="2880"/>
          </w:tcPr>
          <w:p>
            <w:r>
              <w:rPr>
                <w:sz w:val="20"/>
              </w:rPr>
              <w:t>A business strategy where a company controls all stages of production, from raw materials to finished product — practiced by Andrew Carnegie in steel.</w:t>
            </w:r>
          </w:p>
        </w:tc>
        <w:tc>
          <w:tcPr>
            <w:tcW w:type="dxa" w:w="2880"/>
          </w:tcPr>
          <w:p>
            <w:r>
              <w:rPr>
                <w:sz w:val="20"/>
              </w:rPr>
            </w:r>
          </w:p>
        </w:tc>
      </w:tr>
      <w:tr>
        <w:tc>
          <w:tcPr>
            <w:tcW w:type="dxa" w:w="2880"/>
          </w:tcPr>
          <w:p>
            <w:r>
              <w:rPr>
                <w:b/>
                <w:sz w:val="21"/>
              </w:rPr>
              <w:t>Horizontal Integration</w:t>
              <w:br/>
            </w:r>
            <w:r>
              <w:rPr>
                <w:color w:val="5C6470"/>
                <w:sz w:val="18"/>
              </w:rPr>
              <w:t>say: hor-ih-ZON-tul in-teh-GRAY-shun</w:t>
              <w:br/>
              <w:t>ES: Integración Horizontal</w:t>
            </w:r>
          </w:p>
        </w:tc>
        <w:tc>
          <w:tcPr>
            <w:tcW w:type="dxa" w:w="2880"/>
          </w:tcPr>
          <w:p>
            <w:r>
              <w:rPr>
                <w:sz w:val="20"/>
              </w:rPr>
              <w:t>A business strategy where a company buys out competitors in the same industry to reduce competition and control prices — practiced by John D. Rockefeller in oil.</w:t>
            </w:r>
          </w:p>
        </w:tc>
        <w:tc>
          <w:tcPr>
            <w:tcW w:type="dxa" w:w="2880"/>
          </w:tcPr>
          <w:p>
            <w:r>
              <w:rPr>
                <w:sz w:val="20"/>
              </w:rPr>
            </w:r>
          </w:p>
        </w:tc>
      </w:tr>
    </w:tbl>
    <w:p>
      <w:pPr>
        <w:pStyle w:val="Heading2"/>
      </w:pPr>
      <w:r>
        <w:t>Transfer Check</w:t>
      </w:r>
    </w:p>
    <w:p>
      <w:pPr>
        <w:spacing w:after="80" w:before="0"/>
      </w:pPr>
      <w:r>
        <w:rPr>
          <w:b/>
          <w:i w:val="0"/>
          <w:color w:val="1F2430"/>
          <w:sz w:val="21"/>
        </w:rPr>
        <w:t>[u1-us05-dok2-tc · DOK 2 · pre-field-test]  A wealthy 1890s steel magnate funds free public libraries across the country instead of leaving his entire fortune to his heirs. Whose philosophy does this best reflect, and why?</w:t>
      </w:r>
    </w:p>
    <w:p>
      <w:pPr>
        <w:spacing w:after="60"/>
        <w:ind w:left="432"/>
      </w:pPr>
      <w:r>
        <w:rPr>
          <w:b/>
          <w:sz w:val="21"/>
        </w:rPr>
        <w:t xml:space="preserve">A.  </w:t>
      </w:r>
      <w:r>
        <w:rPr>
          <w:sz w:val="21"/>
        </w:rPr>
        <w:t>Carnegie’s philosophy, because it displays wealth publicly to impress others.</w:t>
      </w:r>
    </w:p>
    <w:p>
      <w:pPr>
        <w:spacing w:after="60"/>
        <w:ind w:left="432"/>
      </w:pPr>
      <w:r>
        <w:rPr>
          <w:b/>
          <w:sz w:val="21"/>
        </w:rPr>
        <w:t xml:space="preserve">B.  </w:t>
      </w:r>
      <w:r>
        <w:rPr>
          <w:sz w:val="21"/>
        </w:rPr>
        <w:t>The opposite of Carnegie’s view, because he insisted fortunes pass to children.</w:t>
      </w:r>
    </w:p>
    <w:p>
      <w:pPr>
        <w:spacing w:after="60"/>
        <w:ind w:left="432"/>
      </w:pPr>
      <w:r>
        <w:rPr>
          <w:b/>
          <w:sz w:val="21"/>
        </w:rPr>
        <w:t xml:space="preserve">C.  </w:t>
      </w:r>
      <w:r>
        <w:rPr>
          <w:sz w:val="21"/>
        </w:rPr>
        <w:t>The opposite of Carnegie’s view, because he opposed all charitable giving.</w:t>
      </w:r>
    </w:p>
    <w:p>
      <w:pPr>
        <w:spacing w:after="60"/>
        <w:ind w:left="432"/>
      </w:pPr>
      <w:r>
        <w:rPr>
          <w:b/>
          <w:sz w:val="21"/>
        </w:rPr>
        <w:t xml:space="preserve">D.  </w:t>
      </w:r>
      <w:r>
        <w:rPr>
          <w:sz w:val="21"/>
        </w:rPr>
        <w:t>Carnegie’s “Gospel of Wealth,” because surplus wealth is used as a trust to benefit society.</w:t>
      </w:r>
    </w:p>
    <w:p>
      <w:pPr>
        <w:spacing w:after="80" w:before="0"/>
      </w:pPr>
      <w:r>
        <w:rPr>
          <w:b w:val="0"/>
          <w:i/>
          <w:color w:val="5C6470"/>
          <w:sz w:val="19"/>
        </w:rPr>
        <w:t>RESPONSE CHOICE — answer by writing, saying/recording, or diagramming. Answer key is in the Teacher Guide (kept separate).</w:t>
      </w:r>
    </w:p>
    <w:p>
      <w:r>
        <w:br w:type="page"/>
      </w:r>
    </w:p>
    <w:p>
      <w:pPr>
        <w:pStyle w:val="Heading1"/>
      </w:pPr>
      <w:r>
        <w:t>US.06 — Industrial Centers and Urbanization</w:t>
      </w:r>
    </w:p>
    <w:p>
      <w:pPr>
        <w:pStyle w:val="Heading2"/>
      </w:pPr>
      <w:r>
        <w:t>Cornell Universal Front</w:t>
      </w:r>
    </w:p>
    <w:tbl>
      <w:tblPr>
        <w:tblStyle w:val="TableGrid"/>
        <w:tblW w:type="auto" w:w="0"/>
        <w:tblLook w:firstColumn="1" w:firstRow="1" w:lastColumn="0" w:lastRow="0" w:noHBand="0" w:noVBand="1" w:val="04A0"/>
      </w:tblPr>
      <w:tblGrid>
        <w:gridCol w:w="2448"/>
        <w:gridCol w:w="6912"/>
      </w:tblGrid>
      <w:tr>
        <w:tc>
          <w:tcPr>
            <w:tcW w:type="dxa" w:w="4320"/>
            <w:shd w:val="clear" w:fill="F1EFE6"/>
          </w:tcPr>
          <w:p>
            <w:r>
              <w:rPr>
                <w:b/>
                <w:color w:val="1A2332"/>
                <w:sz w:val="21"/>
              </w:rPr>
              <w:t>TN Standard</w:t>
            </w:r>
          </w:p>
        </w:tc>
        <w:tc>
          <w:tcPr>
            <w:tcW w:type="dxa" w:w="4320"/>
          </w:tcPr>
          <w:p>
            <w:r>
              <w:rPr>
                <w:sz w:val="21"/>
              </w:rPr>
              <w:t>Locate the following major industrial centers, and describe how industrialization influenced the movement of people from rural to urban areas: Boston, Chicago, New York City, Pittsburgh, San Francisco. (C, E, G, H)</w:t>
            </w:r>
          </w:p>
        </w:tc>
      </w:tr>
      <w:tr>
        <w:tc>
          <w:tcPr>
            <w:tcW w:type="dxa" w:w="4320"/>
            <w:shd w:val="clear" w:fill="F1EFE6"/>
          </w:tcPr>
          <w:p>
            <w:r>
              <w:rPr>
                <w:b/>
                <w:color w:val="1A2332"/>
                <w:sz w:val="21"/>
              </w:rPr>
              <w:t>I Can</w:t>
            </w:r>
          </w:p>
        </w:tc>
        <w:tc>
          <w:tcPr>
            <w:tcW w:type="dxa" w:w="4320"/>
          </w:tcPr>
          <w:p>
            <w:r>
              <w:rPr>
                <w:sz w:val="21"/>
              </w:rPr>
              <w:t>I can locate the following major industrial centers, and describe how industrialization influenced the movement of people from rural to urban areas: Boston, Chicago, New York City, Pittsburgh, San Francisco.</w:t>
            </w:r>
          </w:p>
        </w:tc>
      </w:tr>
      <w:tr>
        <w:tc>
          <w:tcPr>
            <w:tcW w:type="dxa" w:w="4320"/>
            <w:shd w:val="clear" w:fill="F1EFE6"/>
          </w:tcPr>
          <w:p>
            <w:r>
              <w:rPr>
                <w:b/>
                <w:color w:val="1A2332"/>
                <w:sz w:val="21"/>
              </w:rPr>
              <w:t>Direct-teaching</w:t>
            </w:r>
          </w:p>
        </w:tc>
        <w:tc>
          <w:tcPr>
            <w:tcW w:type="dxa" w:w="4320"/>
          </w:tcPr>
          <w:p>
            <w:r>
              <w:rPr>
                <w:sz w:val="21"/>
              </w:rPr>
              <w:t>Student (Lean) Deck slides 49–51 (vocabulary slide 48; primary source slide 52; Three Perspectives slide 53; Progress Check slide 54).</w:t>
            </w:r>
          </w:p>
        </w:tc>
      </w:tr>
      <w:tr>
        <w:tc>
          <w:tcPr>
            <w:tcW w:type="dxa" w:w="4320"/>
            <w:shd w:val="clear" w:fill="F1EFE6"/>
          </w:tcPr>
          <w:p>
            <w:r>
              <w:rPr>
                <w:b/>
                <w:color w:val="1A2332"/>
                <w:sz w:val="21"/>
              </w:rPr>
              <w:t>Guiding questions</w:t>
            </w:r>
          </w:p>
        </w:tc>
        <w:tc>
          <w:tcPr>
            <w:tcW w:type="dxa" w:w="4320"/>
          </w:tcPr>
          <w:p>
            <w:r>
              <w:rPr>
                <w:sz w:val="21"/>
              </w:rPr>
              <w:t>Who benefited?  Who bore the costs?  Who decided?  (Use these three historian questions as your note cues.)</w:t>
            </w:r>
          </w:p>
        </w:tc>
      </w:tr>
      <w:tr>
        <w:tc>
          <w:tcPr>
            <w:tcW w:type="dxa" w:w="4320"/>
            <w:shd w:val="clear" w:fill="F1EFE6"/>
          </w:tcPr>
          <w:p>
            <w:r>
              <w:rPr>
                <w:b/>
                <w:color w:val="1A2332"/>
                <w:sz w:val="21"/>
              </w:rPr>
              <w:t>Key terms</w:t>
            </w:r>
          </w:p>
        </w:tc>
        <w:tc>
          <w:tcPr>
            <w:tcW w:type="dxa" w:w="4320"/>
          </w:tcPr>
          <w:p>
            <w:r>
              <w:rPr>
                <w:sz w:val="21"/>
              </w:rPr>
              <w:t>Urbanization; Granger Movement; Populism</w:t>
            </w:r>
          </w:p>
        </w:tc>
      </w:tr>
      <w:tr>
        <w:tc>
          <w:tcPr>
            <w:tcW w:type="dxa" w:w="4320"/>
            <w:shd w:val="clear" w:fill="F1EFE6"/>
          </w:tcPr>
          <w:p>
            <w:r>
              <w:rPr>
                <w:b/>
                <w:color w:val="1A2332"/>
                <w:sz w:val="21"/>
              </w:rPr>
              <w:t>Primary source</w:t>
            </w:r>
          </w:p>
        </w:tc>
        <w:tc>
          <w:tcPr>
            <w:tcW w:type="dxa" w:w="4320"/>
          </w:tcPr>
          <w:p>
            <w:r>
              <w:rPr>
                <w:sz w:val="21"/>
              </w:rPr>
              <w:t>See “Source It First,” Student Deck slide 52.</w:t>
            </w:r>
          </w:p>
        </w:tc>
      </w:tr>
    </w:tbl>
    <w:p>
      <w:pPr>
        <w:pStyle w:val="Heading2"/>
      </w:pPr>
      <w:r>
        <w:t>Cornell Notes (25 / 75)</w:t>
      </w:r>
    </w:p>
    <w:tbl>
      <w:tblPr>
        <w:tblStyle w:val="TableGrid"/>
        <w:tblW w:type="auto" w:w="0"/>
        <w:tblLook w:firstColumn="1" w:firstRow="1" w:lastColumn="0" w:lastRow="0" w:noHBand="0" w:noVBand="1" w:val="04A0"/>
      </w:tblPr>
      <w:tblGrid>
        <w:gridCol w:w="2736"/>
        <w:gridCol w:w="6624"/>
      </w:tblGrid>
      <w:tr>
        <w:tc>
          <w:tcPr>
            <w:tcW w:type="dxa" w:w="4320"/>
            <w:shd w:val="clear" w:fill="FBF9F2"/>
          </w:tcPr>
          <w:p>
            <w:r>
              <w:rPr>
                <w:b/>
                <w:color w:val="5C6470"/>
                <w:sz w:val="19"/>
              </w:rPr>
              <w:t>CUES / QUESTIONS</w:t>
            </w:r>
          </w:p>
          <w:p>
            <w:pPr>
              <w:spacing w:after="280"/>
            </w:pPr>
            <w:r>
              <w:rPr>
                <w:sz w:val="21"/>
              </w:rPr>
              <w:t>Who benefited?</w:t>
            </w:r>
          </w:p>
          <w:p>
            <w:pPr>
              <w:spacing w:after="280"/>
            </w:pPr>
            <w:r>
              <w:rPr>
                <w:sz w:val="21"/>
              </w:rPr>
              <w:t>Who bore the costs?</w:t>
            </w:r>
          </w:p>
          <w:p>
            <w:pPr>
              <w:spacing w:after="280"/>
            </w:pPr>
            <w:r>
              <w:rPr>
                <w:sz w:val="21"/>
              </w:rPr>
              <w:t>Who decided?</w:t>
            </w:r>
          </w:p>
          <w:p>
            <w:pPr>
              <w:spacing w:after="280"/>
            </w:pPr>
            <w:r>
              <w:rPr>
                <w:sz w:val="21"/>
              </w:rPr>
              <w:t>Key term:</w:t>
            </w:r>
          </w:p>
          <w:p>
            <w:pPr>
              <w:spacing w:after="280"/>
            </w:pPr>
            <w:r>
              <w:rPr>
                <w:sz w:val="21"/>
              </w:rPr>
              <w:t>Key term:</w:t>
            </w:r>
          </w:p>
        </w:tc>
        <w:tc>
          <w:tcPr>
            <w:tcW w:type="dxa" w:w="4320"/>
          </w:tcPr>
          <w:p>
            <w:r>
              <w:rPr>
                <w:b/>
                <w:color w:val="5C6470"/>
                <w:sz w:val="19"/>
              </w:rPr>
              <w:t>NOTES</w:t>
            </w:r>
          </w:p>
          <w:p/>
          <w:p/>
          <w:p/>
          <w:p/>
          <w:p/>
          <w:p/>
          <w:p/>
        </w:tc>
      </w:tr>
    </w:tbl>
    <w:tbl>
      <w:tblPr>
        <w:tblStyle w:val="TableGrid"/>
        <w:tblW w:type="auto" w:w="0"/>
        <w:tblLook w:firstColumn="1" w:firstRow="1" w:lastColumn="0" w:lastRow="0" w:noHBand="0" w:noVBand="1" w:val="04A0"/>
      </w:tblPr>
      <w:tblGrid>
        <w:gridCol w:w="8640"/>
      </w:tblGrid>
      <w:tr>
        <w:tc>
          <w:tcPr>
            <w:tcW w:type="dxa" w:w="8640"/>
            <w:shd w:val="clear" w:fill="F1EFE6"/>
          </w:tcPr>
          <w:p>
            <w:r>
              <w:rPr>
                <w:b/>
                <w:sz w:val="20"/>
              </w:rPr>
              <w:t xml:space="preserve">SUMMARY (2–3 sentences): </w:t>
            </w:r>
          </w:p>
          <w:p/>
          <w:p/>
        </w:tc>
      </w:tr>
    </w:tbl>
    <w:p>
      <w:pPr>
        <w:pStyle w:val="Heading2"/>
      </w:pPr>
      <w:r>
        <w:t>Key Vocabulary · Language Support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A2332"/>
          </w:tcPr>
          <w:p>
            <w:r>
              <w:rPr>
                <w:b/>
                <w:color w:val="FFFFFF"/>
                <w:sz w:val="19"/>
              </w:rPr>
              <w:t>Term (say / Spanish)</w:t>
            </w:r>
          </w:p>
        </w:tc>
        <w:tc>
          <w:tcPr>
            <w:tcW w:type="dxa" w:w="2880"/>
            <w:shd w:val="clear" w:fill="1A2332"/>
          </w:tcPr>
          <w:p>
            <w:r>
              <w:rPr>
                <w:b/>
                <w:color w:val="FFFFFF"/>
                <w:sz w:val="19"/>
              </w:rPr>
              <w:t>Definition</w:t>
            </w:r>
          </w:p>
        </w:tc>
        <w:tc>
          <w:tcPr>
            <w:tcW w:type="dxa" w:w="2880"/>
            <w:shd w:val="clear" w:fill="1A2332"/>
          </w:tcPr>
          <w:p>
            <w:r>
              <w:rPr>
                <w:b/>
                <w:color w:val="FFFFFF"/>
                <w:sz w:val="19"/>
              </w:rPr>
              <w:t>Use it</w:t>
            </w:r>
          </w:p>
        </w:tc>
      </w:tr>
      <w:tr>
        <w:tc>
          <w:tcPr>
            <w:tcW w:type="dxa" w:w="2880"/>
          </w:tcPr>
          <w:p>
            <w:r>
              <w:rPr>
                <w:b/>
                <w:sz w:val="21"/>
              </w:rPr>
              <w:t>Urbanization</w:t>
              <w:br/>
            </w:r>
            <w:r>
              <w:rPr>
                <w:color w:val="5C6470"/>
                <w:sz w:val="18"/>
              </w:rPr>
              <w:t>say: ur-bun-ih-ZAY-shun</w:t>
              <w:br/>
              <w:t>ES: Urbanización</w:t>
            </w:r>
          </w:p>
        </w:tc>
        <w:tc>
          <w:tcPr>
            <w:tcW w:type="dxa" w:w="2880"/>
          </w:tcPr>
          <w:p>
            <w:r>
              <w:rPr>
                <w:sz w:val="20"/>
              </w:rPr>
              <w:t>The rapid growth of cities due to industrialization and mass migration, transforming America from a predominantly rural to an urban society.</w:t>
            </w:r>
          </w:p>
        </w:tc>
        <w:tc>
          <w:tcPr>
            <w:tcW w:type="dxa" w:w="2880"/>
          </w:tcPr>
          <w:p>
            <w:r>
              <w:rPr>
                <w:sz w:val="20"/>
              </w:rPr>
            </w:r>
          </w:p>
        </w:tc>
      </w:tr>
      <w:tr>
        <w:tc>
          <w:tcPr>
            <w:tcW w:type="dxa" w:w="2880"/>
          </w:tcPr>
          <w:p>
            <w:r>
              <w:rPr>
                <w:b/>
                <w:sz w:val="21"/>
              </w:rPr>
              <w:t>Granger Movement</w:t>
              <w:br/>
            </w:r>
            <w:r>
              <w:rPr>
                <w:color w:val="5C6470"/>
                <w:sz w:val="18"/>
              </w:rPr>
              <w:t>say: GRAYN-jer MOOV-ment</w:t>
              <w:br/>
              <w:t>ES: Movimiento Granger</w:t>
            </w:r>
          </w:p>
        </w:tc>
        <w:tc>
          <w:tcPr>
            <w:tcW w:type="dxa" w:w="2880"/>
          </w:tcPr>
          <w:p>
            <w:r>
              <w:rPr>
                <w:sz w:val="20"/>
              </w:rPr>
              <w:t>A farmers' organization founded in 1867 that advocated railroad regulation and fought monopolistic practices that harmed farmers through high shipping rates.</w:t>
            </w:r>
          </w:p>
        </w:tc>
        <w:tc>
          <w:tcPr>
            <w:tcW w:type="dxa" w:w="2880"/>
          </w:tcPr>
          <w:p>
            <w:r>
              <w:rPr>
                <w:sz w:val="20"/>
              </w:rPr>
            </w:r>
          </w:p>
        </w:tc>
      </w:tr>
      <w:tr>
        <w:tc>
          <w:tcPr>
            <w:tcW w:type="dxa" w:w="2880"/>
          </w:tcPr>
          <w:p>
            <w:r>
              <w:rPr>
                <w:b/>
                <w:sz w:val="21"/>
              </w:rPr>
              <w:t>Populism</w:t>
              <w:br/>
            </w:r>
            <w:r>
              <w:rPr>
                <w:color w:val="5C6470"/>
                <w:sz w:val="18"/>
              </w:rPr>
              <w:t>say: POP-yuh-liz-um</w:t>
              <w:br/>
              <w:t>ES: Populismo</w:t>
            </w:r>
          </w:p>
        </w:tc>
        <w:tc>
          <w:tcPr>
            <w:tcW w:type="dxa" w:w="2880"/>
          </w:tcPr>
          <w:p>
            <w:r>
              <w:rPr>
                <w:sz w:val="20"/>
              </w:rPr>
              <w:t>An 1890s political movement of farmers and workers seeking railroad regulation, a graduated income tax, and free coinage of silver to combat economic inequality.</w:t>
            </w:r>
          </w:p>
        </w:tc>
        <w:tc>
          <w:tcPr>
            <w:tcW w:type="dxa" w:w="2880"/>
          </w:tcPr>
          <w:p>
            <w:r>
              <w:rPr>
                <w:sz w:val="20"/>
              </w:rPr>
            </w:r>
          </w:p>
        </w:tc>
      </w:tr>
    </w:tbl>
    <w:p>
      <w:pPr>
        <w:pStyle w:val="Heading2"/>
      </w:pPr>
      <w:r>
        <w:t>Transfer Check</w:t>
      </w:r>
    </w:p>
    <w:p>
      <w:pPr>
        <w:spacing w:after="80" w:before="0"/>
      </w:pPr>
      <w:r>
        <w:rPr>
          <w:b/>
          <w:i w:val="0"/>
          <w:color w:val="1F2430"/>
          <w:sz w:val="21"/>
        </w:rPr>
        <w:t>[u1-us06-dok2-tc · DOK 2 · pre-field-test]  A folk saying held that immigrants came expecting “streets paved with gold,” only to find the streets unpaved — and that they were expected to pave them. What does this reveal about the immigrant experience?</w:t>
      </w:r>
    </w:p>
    <w:p>
      <w:pPr>
        <w:spacing w:after="60"/>
        <w:ind w:left="432"/>
      </w:pPr>
      <w:r>
        <w:rPr>
          <w:b/>
          <w:sz w:val="21"/>
        </w:rPr>
        <w:t xml:space="preserve">A.  </w:t>
      </w:r>
      <w:r>
        <w:rPr>
          <w:sz w:val="21"/>
        </w:rPr>
        <w:t>Immigrants found immediate wealth and success.</w:t>
      </w:r>
    </w:p>
    <w:p>
      <w:pPr>
        <w:spacing w:after="60"/>
        <w:ind w:left="432"/>
      </w:pPr>
      <w:r>
        <w:rPr>
          <w:b/>
          <w:sz w:val="21"/>
        </w:rPr>
        <w:t xml:space="preserve">B.  </w:t>
      </w:r>
      <w:r>
        <w:rPr>
          <w:sz w:val="21"/>
        </w:rPr>
        <w:t>Reality fell far short of expectations, and immigrants faced hard labor.</w:t>
      </w:r>
    </w:p>
    <w:p>
      <w:pPr>
        <w:spacing w:after="60"/>
        <w:ind w:left="432"/>
      </w:pPr>
      <w:r>
        <w:rPr>
          <w:b/>
          <w:sz w:val="21"/>
        </w:rPr>
        <w:t xml:space="preserve">C.  </w:t>
      </w:r>
      <w:r>
        <w:rPr>
          <w:sz w:val="21"/>
        </w:rPr>
        <w:t>American cities were well-developed and welcoming.</w:t>
      </w:r>
    </w:p>
    <w:p>
      <w:pPr>
        <w:spacing w:after="60"/>
        <w:ind w:left="432"/>
      </w:pPr>
      <w:r>
        <w:rPr>
          <w:b/>
          <w:sz w:val="21"/>
        </w:rPr>
        <w:t xml:space="preserve">D.  </w:t>
      </w:r>
      <w:r>
        <w:rPr>
          <w:sz w:val="21"/>
        </w:rPr>
        <w:t>Immigrants were given skilled professional jobs.</w:t>
      </w:r>
    </w:p>
    <w:p>
      <w:pPr>
        <w:spacing w:after="80" w:before="0"/>
      </w:pPr>
      <w:r>
        <w:rPr>
          <w:b w:val="0"/>
          <w:i/>
          <w:color w:val="5C6470"/>
          <w:sz w:val="19"/>
        </w:rPr>
        <w:t>RESPONSE CHOICE — answer by writing, saying/recording, or diagramming. Answer key is in the Teacher Guide (kept separate).</w:t>
      </w:r>
    </w:p>
    <w:p>
      <w:r>
        <w:br w:type="page"/>
      </w:r>
    </w:p>
    <w:p>
      <w:pPr>
        <w:pStyle w:val="Heading1"/>
      </w:pPr>
      <w:r>
        <w:t>US.07 — Immigration: Old vs. New Immigrants</w:t>
      </w:r>
    </w:p>
    <w:p>
      <w:pPr>
        <w:pStyle w:val="Heading2"/>
      </w:pPr>
      <w:r>
        <w:t>Cornell Universal Front</w:t>
      </w:r>
    </w:p>
    <w:tbl>
      <w:tblPr>
        <w:tblStyle w:val="TableGrid"/>
        <w:tblW w:type="auto" w:w="0"/>
        <w:tblLook w:firstColumn="1" w:firstRow="1" w:lastColumn="0" w:lastRow="0" w:noHBand="0" w:noVBand="1" w:val="04A0"/>
      </w:tblPr>
      <w:tblGrid>
        <w:gridCol w:w="2448"/>
        <w:gridCol w:w="6912"/>
      </w:tblGrid>
      <w:tr>
        <w:tc>
          <w:tcPr>
            <w:tcW w:type="dxa" w:w="4320"/>
            <w:shd w:val="clear" w:fill="F1EFE6"/>
          </w:tcPr>
          <w:p>
            <w:r>
              <w:rPr>
                <w:b/>
                <w:color w:val="1A2332"/>
                <w:sz w:val="21"/>
              </w:rPr>
              <w:t>TN Standard</w:t>
            </w:r>
          </w:p>
        </w:tc>
        <w:tc>
          <w:tcPr>
            <w:tcW w:type="dxa" w:w="4320"/>
          </w:tcPr>
          <w:p>
            <w:r>
              <w:rPr>
                <w:sz w:val="21"/>
              </w:rPr>
              <w:t>Describe the differences between “old” and “new” immigrants, analyze the assimilation process for “new” immigrants, and determine the impacts of increased migration on American society, including: Angel Island, Ellis Island, Push and pull factors, Ethnic clusters, Jane Addams, Competition for jobs, Rise of nativism, Jacob Riis, Chinese Exclusion Act and Gentleman’s Agreement. (C, E, G, H, P)</w:t>
            </w:r>
          </w:p>
        </w:tc>
      </w:tr>
      <w:tr>
        <w:tc>
          <w:tcPr>
            <w:tcW w:type="dxa" w:w="4320"/>
            <w:shd w:val="clear" w:fill="F1EFE6"/>
          </w:tcPr>
          <w:p>
            <w:r>
              <w:rPr>
                <w:b/>
                <w:color w:val="1A2332"/>
                <w:sz w:val="21"/>
              </w:rPr>
              <w:t>I Can</w:t>
            </w:r>
          </w:p>
        </w:tc>
        <w:tc>
          <w:tcPr>
            <w:tcW w:type="dxa" w:w="4320"/>
          </w:tcPr>
          <w:p>
            <w:r>
              <w:rPr>
                <w:sz w:val="21"/>
              </w:rPr>
              <w:t>I can describe the differences between “old” and “new” immigrants, analyze the assimilation process for “new” immigrants, and determine the impacts of increased migration on American society, including: Angel Island, Ellis Island, Push and pull factors, Ethnic clusters, Jane Addams, Competition for jobs, Rise of nativism, Jacob Riis, Chinese Exclusion Act and Gentleman’s Agreement.</w:t>
            </w:r>
          </w:p>
        </w:tc>
      </w:tr>
      <w:tr>
        <w:tc>
          <w:tcPr>
            <w:tcW w:type="dxa" w:w="4320"/>
            <w:shd w:val="clear" w:fill="F1EFE6"/>
          </w:tcPr>
          <w:p>
            <w:r>
              <w:rPr>
                <w:b/>
                <w:color w:val="1A2332"/>
                <w:sz w:val="21"/>
              </w:rPr>
              <w:t>Direct-teaching</w:t>
            </w:r>
          </w:p>
        </w:tc>
        <w:tc>
          <w:tcPr>
            <w:tcW w:type="dxa" w:w="4320"/>
          </w:tcPr>
          <w:p>
            <w:r>
              <w:rPr>
                <w:sz w:val="21"/>
              </w:rPr>
              <w:t>Student (Lean) Deck slides 57–60 (vocabulary slide 56; primary source slide 61; Three Perspectives slide 62; Progress Check slide 63).</w:t>
            </w:r>
          </w:p>
        </w:tc>
      </w:tr>
      <w:tr>
        <w:tc>
          <w:tcPr>
            <w:tcW w:type="dxa" w:w="4320"/>
            <w:shd w:val="clear" w:fill="F1EFE6"/>
          </w:tcPr>
          <w:p>
            <w:r>
              <w:rPr>
                <w:b/>
                <w:color w:val="1A2332"/>
                <w:sz w:val="21"/>
              </w:rPr>
              <w:t>Guiding questions</w:t>
            </w:r>
          </w:p>
        </w:tc>
        <w:tc>
          <w:tcPr>
            <w:tcW w:type="dxa" w:w="4320"/>
          </w:tcPr>
          <w:p>
            <w:r>
              <w:rPr>
                <w:sz w:val="21"/>
              </w:rPr>
              <w:t>Who benefited?  Who bore the costs?  Who decided?  (Use these three historian questions as your note cues.)</w:t>
            </w:r>
          </w:p>
        </w:tc>
      </w:tr>
      <w:tr>
        <w:tc>
          <w:tcPr>
            <w:tcW w:type="dxa" w:w="4320"/>
            <w:shd w:val="clear" w:fill="F1EFE6"/>
          </w:tcPr>
          <w:p>
            <w:r>
              <w:rPr>
                <w:b/>
                <w:color w:val="1A2332"/>
                <w:sz w:val="21"/>
              </w:rPr>
              <w:t>Key terms</w:t>
            </w:r>
          </w:p>
        </w:tc>
        <w:tc>
          <w:tcPr>
            <w:tcW w:type="dxa" w:w="4320"/>
          </w:tcPr>
          <w:p>
            <w:r>
              <w:rPr>
                <w:sz w:val="21"/>
              </w:rPr>
              <w:t>Old Immigrants; New Immigrants; Ellis Island</w:t>
            </w:r>
          </w:p>
        </w:tc>
      </w:tr>
      <w:tr>
        <w:tc>
          <w:tcPr>
            <w:tcW w:type="dxa" w:w="4320"/>
            <w:shd w:val="clear" w:fill="F1EFE6"/>
          </w:tcPr>
          <w:p>
            <w:r>
              <w:rPr>
                <w:b/>
                <w:color w:val="1A2332"/>
                <w:sz w:val="21"/>
              </w:rPr>
              <w:t>Primary source</w:t>
            </w:r>
          </w:p>
        </w:tc>
        <w:tc>
          <w:tcPr>
            <w:tcW w:type="dxa" w:w="4320"/>
          </w:tcPr>
          <w:p>
            <w:r>
              <w:rPr>
                <w:sz w:val="21"/>
              </w:rPr>
              <w:t>See “Source It First,” Student Deck slide 61.</w:t>
            </w:r>
          </w:p>
        </w:tc>
      </w:tr>
    </w:tbl>
    <w:p>
      <w:pPr>
        <w:pStyle w:val="Heading2"/>
      </w:pPr>
      <w:r>
        <w:t>Cornell Notes (25 / 75)</w:t>
      </w:r>
    </w:p>
    <w:tbl>
      <w:tblPr>
        <w:tblStyle w:val="TableGrid"/>
        <w:tblW w:type="auto" w:w="0"/>
        <w:tblLook w:firstColumn="1" w:firstRow="1" w:lastColumn="0" w:lastRow="0" w:noHBand="0" w:noVBand="1" w:val="04A0"/>
      </w:tblPr>
      <w:tblGrid>
        <w:gridCol w:w="2736"/>
        <w:gridCol w:w="6624"/>
      </w:tblGrid>
      <w:tr>
        <w:tc>
          <w:tcPr>
            <w:tcW w:type="dxa" w:w="4320"/>
            <w:shd w:val="clear" w:fill="FBF9F2"/>
          </w:tcPr>
          <w:p>
            <w:r>
              <w:rPr>
                <w:b/>
                <w:color w:val="5C6470"/>
                <w:sz w:val="19"/>
              </w:rPr>
              <w:t>CUES / QUESTIONS</w:t>
            </w:r>
          </w:p>
          <w:p>
            <w:pPr>
              <w:spacing w:after="280"/>
            </w:pPr>
            <w:r>
              <w:rPr>
                <w:sz w:val="21"/>
              </w:rPr>
              <w:t>Who benefited?</w:t>
            </w:r>
          </w:p>
          <w:p>
            <w:pPr>
              <w:spacing w:after="280"/>
            </w:pPr>
            <w:r>
              <w:rPr>
                <w:sz w:val="21"/>
              </w:rPr>
              <w:t>Who bore the costs?</w:t>
            </w:r>
          </w:p>
          <w:p>
            <w:pPr>
              <w:spacing w:after="280"/>
            </w:pPr>
            <w:r>
              <w:rPr>
                <w:sz w:val="21"/>
              </w:rPr>
              <w:t>Who decided?</w:t>
            </w:r>
          </w:p>
          <w:p>
            <w:pPr>
              <w:spacing w:after="280"/>
            </w:pPr>
            <w:r>
              <w:rPr>
                <w:sz w:val="21"/>
              </w:rPr>
              <w:t>Key term:</w:t>
            </w:r>
          </w:p>
          <w:p>
            <w:pPr>
              <w:spacing w:after="280"/>
            </w:pPr>
            <w:r>
              <w:rPr>
                <w:sz w:val="21"/>
              </w:rPr>
              <w:t>Key term:</w:t>
            </w:r>
          </w:p>
        </w:tc>
        <w:tc>
          <w:tcPr>
            <w:tcW w:type="dxa" w:w="4320"/>
          </w:tcPr>
          <w:p>
            <w:r>
              <w:rPr>
                <w:b/>
                <w:color w:val="5C6470"/>
                <w:sz w:val="19"/>
              </w:rPr>
              <w:t>NOTES</w:t>
            </w:r>
          </w:p>
          <w:p/>
          <w:p/>
          <w:p/>
          <w:p/>
          <w:p/>
          <w:p/>
          <w:p/>
        </w:tc>
      </w:tr>
    </w:tbl>
    <w:tbl>
      <w:tblPr>
        <w:tblStyle w:val="TableGrid"/>
        <w:tblW w:type="auto" w:w="0"/>
        <w:tblLook w:firstColumn="1" w:firstRow="1" w:lastColumn="0" w:lastRow="0" w:noHBand="0" w:noVBand="1" w:val="04A0"/>
      </w:tblPr>
      <w:tblGrid>
        <w:gridCol w:w="8640"/>
      </w:tblGrid>
      <w:tr>
        <w:tc>
          <w:tcPr>
            <w:tcW w:type="dxa" w:w="8640"/>
            <w:shd w:val="clear" w:fill="F1EFE6"/>
          </w:tcPr>
          <w:p>
            <w:r>
              <w:rPr>
                <w:b/>
                <w:sz w:val="20"/>
              </w:rPr>
              <w:t xml:space="preserve">SUMMARY (2–3 sentences): </w:t>
            </w:r>
          </w:p>
          <w:p/>
          <w:p/>
        </w:tc>
      </w:tr>
    </w:tbl>
    <w:p>
      <w:pPr>
        <w:pStyle w:val="Heading2"/>
      </w:pPr>
      <w:r>
        <w:t>Key Vocabulary · Language Support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A2332"/>
          </w:tcPr>
          <w:p>
            <w:r>
              <w:rPr>
                <w:b/>
                <w:color w:val="FFFFFF"/>
                <w:sz w:val="19"/>
              </w:rPr>
              <w:t>Term (say / Spanish)</w:t>
            </w:r>
          </w:p>
        </w:tc>
        <w:tc>
          <w:tcPr>
            <w:tcW w:type="dxa" w:w="2880"/>
            <w:shd w:val="clear" w:fill="1A2332"/>
          </w:tcPr>
          <w:p>
            <w:r>
              <w:rPr>
                <w:b/>
                <w:color w:val="FFFFFF"/>
                <w:sz w:val="19"/>
              </w:rPr>
              <w:t>Definition</w:t>
            </w:r>
          </w:p>
        </w:tc>
        <w:tc>
          <w:tcPr>
            <w:tcW w:type="dxa" w:w="2880"/>
            <w:shd w:val="clear" w:fill="1A2332"/>
          </w:tcPr>
          <w:p>
            <w:r>
              <w:rPr>
                <w:b/>
                <w:color w:val="FFFFFF"/>
                <w:sz w:val="19"/>
              </w:rPr>
              <w:t>Use it</w:t>
            </w:r>
          </w:p>
        </w:tc>
      </w:tr>
      <w:tr>
        <w:tc>
          <w:tcPr>
            <w:tcW w:type="dxa" w:w="2880"/>
          </w:tcPr>
          <w:p>
            <w:r>
              <w:rPr>
                <w:b/>
                <w:sz w:val="21"/>
              </w:rPr>
              <w:t>Old Immigrants</w:t>
              <w:br/>
            </w:r>
            <w:r>
              <w:rPr>
                <w:color w:val="5C6470"/>
                <w:sz w:val="18"/>
              </w:rPr>
              <w:t>say: ohld IM-ih-grunts</w:t>
              <w:br/>
              <w:t>ES: Viejos Inmigrantes</w:t>
            </w:r>
          </w:p>
        </w:tc>
        <w:tc>
          <w:tcPr>
            <w:tcW w:type="dxa" w:w="2880"/>
          </w:tcPr>
          <w:p>
            <w:r>
              <w:rPr>
                <w:sz w:val="20"/>
              </w:rPr>
              <w:t>Immigrants who came primarily from Northern and Western Europe before 1880, often Protestant and more easily assimilated.</w:t>
            </w:r>
          </w:p>
        </w:tc>
        <w:tc>
          <w:tcPr>
            <w:tcW w:type="dxa" w:w="2880"/>
          </w:tcPr>
          <w:p>
            <w:r>
              <w:rPr>
                <w:sz w:val="20"/>
              </w:rPr>
            </w:r>
          </w:p>
        </w:tc>
      </w:tr>
      <w:tr>
        <w:tc>
          <w:tcPr>
            <w:tcW w:type="dxa" w:w="2880"/>
          </w:tcPr>
          <w:p>
            <w:r>
              <w:rPr>
                <w:b/>
                <w:sz w:val="21"/>
              </w:rPr>
              <w:t>New Immigrants</w:t>
              <w:br/>
            </w:r>
            <w:r>
              <w:rPr>
                <w:color w:val="5C6470"/>
                <w:sz w:val="18"/>
              </w:rPr>
              <w:t>say: noo IM-ih-grunts</w:t>
              <w:br/>
              <w:t>ES: Nuevos Inmigrantes</w:t>
            </w:r>
          </w:p>
        </w:tc>
        <w:tc>
          <w:tcPr>
            <w:tcW w:type="dxa" w:w="2880"/>
          </w:tcPr>
          <w:p>
            <w:r>
              <w:rPr>
                <w:sz w:val="20"/>
              </w:rPr>
              <w:t>Immigrants who came primarily from Southern and Eastern Europe and Asia after 1880, often Catholic, Jewish, or Orthodox, facing greater discrimination.</w:t>
            </w:r>
          </w:p>
        </w:tc>
        <w:tc>
          <w:tcPr>
            <w:tcW w:type="dxa" w:w="2880"/>
          </w:tcPr>
          <w:p>
            <w:r>
              <w:rPr>
                <w:sz w:val="20"/>
              </w:rPr>
            </w:r>
          </w:p>
        </w:tc>
      </w:tr>
      <w:tr>
        <w:tc>
          <w:tcPr>
            <w:tcW w:type="dxa" w:w="2880"/>
          </w:tcPr>
          <w:p>
            <w:r>
              <w:rPr>
                <w:b/>
                <w:sz w:val="21"/>
              </w:rPr>
              <w:t>Ellis Island</w:t>
              <w:br/>
            </w:r>
            <w:r>
              <w:rPr>
                <w:color w:val="5C6470"/>
                <w:sz w:val="18"/>
              </w:rPr>
              <w:t>say: EL-is EYE-lund</w:t>
              <w:br/>
              <w:t>ES: Isla Ellis</w:t>
            </w:r>
          </w:p>
        </w:tc>
        <w:tc>
          <w:tcPr>
            <w:tcW w:type="dxa" w:w="2880"/>
          </w:tcPr>
          <w:p>
            <w:r>
              <w:rPr>
                <w:sz w:val="20"/>
              </w:rPr>
              <w:t>The primary immigration processing station in New York Harbor from 1892 to 1954, where over 12 million immigrants — primarily Europeans — entered the United States.</w:t>
            </w:r>
          </w:p>
        </w:tc>
        <w:tc>
          <w:tcPr>
            <w:tcW w:type="dxa" w:w="2880"/>
          </w:tcPr>
          <w:p>
            <w:r>
              <w:rPr>
                <w:sz w:val="20"/>
              </w:rPr>
            </w:r>
          </w:p>
        </w:tc>
      </w:tr>
    </w:tbl>
    <w:p>
      <w:pPr>
        <w:pStyle w:val="Heading2"/>
      </w:pPr>
      <w:r>
        <w:t>Transfer Check</w:t>
      </w:r>
    </w:p>
    <w:p>
      <w:pPr>
        <w:spacing w:after="80" w:before="0"/>
      </w:pPr>
      <w:r>
        <w:rPr>
          <w:b/>
          <w:i w:val="0"/>
          <w:color w:val="1F2430"/>
          <w:sz w:val="21"/>
        </w:rPr>
        <w:t>[u1-us07-dok2-tc · DOK 2 · pre-field-test]  According to Jane Addams, what was the philosophy behind Hull-House?</w:t>
      </w:r>
    </w:p>
    <w:p>
      <w:pPr>
        <w:spacing w:after="60"/>
        <w:ind w:left="432"/>
      </w:pPr>
      <w:r>
        <w:rPr>
          <w:b/>
          <w:sz w:val="21"/>
        </w:rPr>
        <w:t xml:space="preserve">A.  </w:t>
      </w:r>
      <w:r>
        <w:rPr>
          <w:sz w:val="21"/>
        </w:rPr>
        <w:t>That different social classes depend on and can help each other.</w:t>
      </w:r>
    </w:p>
    <w:p>
      <w:pPr>
        <w:spacing w:after="60"/>
        <w:ind w:left="432"/>
      </w:pPr>
      <w:r>
        <w:rPr>
          <w:b/>
          <w:sz w:val="21"/>
        </w:rPr>
        <w:t xml:space="preserve">B.  </w:t>
      </w:r>
      <w:r>
        <w:rPr>
          <w:sz w:val="21"/>
        </w:rPr>
        <w:t>That wealthy people should live separately from immigrants.</w:t>
      </w:r>
    </w:p>
    <w:p>
      <w:pPr>
        <w:spacing w:after="60"/>
        <w:ind w:left="432"/>
      </w:pPr>
      <w:r>
        <w:rPr>
          <w:b/>
          <w:sz w:val="21"/>
        </w:rPr>
        <w:t xml:space="preserve">C.  </w:t>
      </w:r>
      <w:r>
        <w:rPr>
          <w:sz w:val="21"/>
        </w:rPr>
        <w:t>That immigrants should return to their home countries.</w:t>
      </w:r>
    </w:p>
    <w:p>
      <w:pPr>
        <w:spacing w:after="60"/>
        <w:ind w:left="432"/>
      </w:pPr>
      <w:r>
        <w:rPr>
          <w:b/>
          <w:sz w:val="21"/>
        </w:rPr>
        <w:t xml:space="preserve">D.  </w:t>
      </w:r>
      <w:r>
        <w:rPr>
          <w:sz w:val="21"/>
        </w:rPr>
        <w:t>That government should provide all social services.</w:t>
      </w:r>
    </w:p>
    <w:p>
      <w:pPr>
        <w:spacing w:after="80" w:before="0"/>
      </w:pPr>
      <w:r>
        <w:rPr>
          <w:b w:val="0"/>
          <w:i/>
          <w:color w:val="5C6470"/>
          <w:sz w:val="19"/>
        </w:rPr>
        <w:t>RESPONSE CHOICE — answer by writing, saying/recording, or diagramming. Answer key is in the Teacher Guide (kept separate).</w:t>
      </w:r>
    </w:p>
    <w:p>
      <w:r>
        <w:br w:type="page"/>
      </w:r>
    </w:p>
    <w:p>
      <w:pPr>
        <w:pStyle w:val="Heading1"/>
      </w:pPr>
      <w:r>
        <w:t>Representation in the Industrial Era — Reached and Left Out</w:t>
      </w:r>
    </w:p>
    <w:p>
      <w:pPr>
        <w:spacing w:after="120" w:before="0"/>
      </w:pPr>
      <w:r>
        <w:rPr>
          <w:b w:val="0"/>
          <w:i w:val="0"/>
          <w:color w:val="1F2430"/>
          <w:sz w:val="22"/>
        </w:rPr>
        <w:t>This section complicates the industrial-era narrative: who it reached, who it excluded, and who organized in response. It is History Hack-authored instructional synthesis grounded in this unit’s sourced record — not a primary source. Verified public-domain images and named Key-Figure entries are a pending content addition.</w:t>
      </w:r>
    </w:p>
    <w:p>
      <w:pPr>
        <w:pStyle w:val="Heading2"/>
      </w:pPr>
      <w:r>
        <w:t>American Indian Nations</w:t>
      </w:r>
    </w:p>
    <w:p>
      <w:pPr>
        <w:spacing w:after="120" w:before="0"/>
      </w:pPr>
      <w:r>
        <w:rPr>
          <w:b w:val="0"/>
          <w:i w:val="0"/>
          <w:color w:val="1F2430"/>
          <w:sz w:val="22"/>
        </w:rPr>
        <w:t>Westward expansion and the Transcontinental Railroad (US.01) crossed treaty lands; reservation, assimilation, boarding-school, and Dawes Act policy (US.02) cut tribal holdings from about 138 million acres to 48 million by 1934.</w:t>
      </w:r>
    </w:p>
    <w:p>
      <w:pPr>
        <w:pStyle w:val="Heading2"/>
      </w:pPr>
      <w:r>
        <w:t>Chinese Laborers</w:t>
      </w:r>
    </w:p>
    <w:p>
      <w:pPr>
        <w:spacing w:after="120" w:before="0"/>
      </w:pPr>
      <w:r>
        <w:rPr>
          <w:b w:val="0"/>
          <w:i w:val="0"/>
          <w:color w:val="1F2430"/>
          <w:sz w:val="22"/>
        </w:rPr>
        <w:t>Chinese workers built the most dangerous stretches of the Central Pacific (US.01) yet faced wage discrimination and, in 1882, the first federal law to bar an entire nationality — the Chinese Exclusion Act (US.07).</w:t>
      </w:r>
    </w:p>
    <w:p>
      <w:pPr>
        <w:pStyle w:val="Heading2"/>
      </w:pPr>
      <w:r>
        <w:t>African Americans</w:t>
      </w:r>
    </w:p>
    <w:p>
      <w:pPr>
        <w:spacing w:after="120" w:before="0"/>
      </w:pPr>
      <w:r>
        <w:rPr>
          <w:b w:val="0"/>
          <w:i w:val="0"/>
          <w:color w:val="1F2430"/>
          <w:sz w:val="22"/>
        </w:rPr>
        <w:t>The Compromise of 1877 ended Reconstruction’s protections (US.03); Pap Singleton’s Exodusters migrated to Kansas, while Madam C.J. Walker and George Washington Carver (US.05) built enterprise and innovation under Jim Crow.</w:t>
      </w:r>
    </w:p>
    <w:p>
      <w:pPr>
        <w:pStyle w:val="Heading2"/>
      </w:pPr>
      <w:r>
        <w:t>New Immigrants &amp; Reformers</w:t>
      </w:r>
    </w:p>
    <w:p>
      <w:pPr>
        <w:spacing w:after="120" w:before="0"/>
      </w:pPr>
      <w:r>
        <w:rPr>
          <w:b w:val="0"/>
          <w:i w:val="0"/>
          <w:color w:val="1F2430"/>
          <w:sz w:val="22"/>
        </w:rPr>
        <w:t>Southern and Eastern European and Asian arrivals (US.07) met nativism and tenement poverty; reformers such as Jane Addams at Hull-House organized mutual aid across social classes.</w:t>
      </w:r>
    </w:p>
    <w:p>
      <w:pPr>
        <w:spacing w:after="120" w:before="120"/>
      </w:pPr>
      <w:r>
        <w:rPr>
          <w:b w:val="0"/>
          <w:i/>
          <w:color w:val="5C6470"/>
          <w:sz w:val="19"/>
        </w:rPr>
        <w:t>Residual note (known follow-up): sourced visuals and named Key-Figure entries for these histories remain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1 Course Standard Student Workbook (Pilot)</dc:title>
  <dc:subject/>
  <dc:creator>TroopToTeacher Technologies LLC</dc:creator>
  <cp:keywords/>
  <dc:description>U.S. History Hack Unit 1 (Course Standard). © 2026 TroopToTeacher Technologies LLC.</dc:description>
  <cp:lastModifiedBy>TroopToTeacher Technologies LLC</cp:lastModifiedBy>
  <cp:revision>1</cp:revision>
  <dcterms:created xsi:type="dcterms:W3CDTF">2026-07-25T00:00:00Z</dcterms:created>
  <dcterms:modified xsi:type="dcterms:W3CDTF">2026-07-25T00:00:00Z</dcterms:modified>
  <cp:category/>
</cp:coreProperties>
</file>