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Unit 2 — Teacher How-to-Use &amp; MTSS Guide</w:t>
      </w:r>
    </w:p>
    <w:p>
      <w:pPr>
        <w:spacing w:after="100"/>
      </w:pPr>
      <w:r>
        <w:rPr>
          <w:b/>
          <w:bCs/>
          <w:i w:val="false"/>
          <w:iCs w:val="false"/>
          <w:color w:val="1B2A4A"/>
          <w:sz w:val="22"/>
          <w:szCs w:val="22"/>
          <w:rFonts w:ascii="Calibri" w:cs="Calibri" w:eastAsia="Calibri" w:hAnsi="Calibri"/>
        </w:rPr>
        <w:t xml:space="preserve">Citizen Participation · Course Standard · GC.31–GC.34 · Grades 9–12</w:t>
      </w:r>
    </w:p>
    <w:p>
      <w:pPr>
        <w:spacing w:after="100"/>
      </w:pPr>
      <w:r>
        <w:rPr>
          <w:b w:val="false"/>
          <w:bCs w:val="false"/>
          <w:i/>
          <w:iCs/>
          <w:color w:val="6B7280"/>
          <w:sz w:val="20"/>
          <w:szCs w:val="20"/>
          <w:rFonts w:ascii="Calibri" w:cs="Calibri" w:eastAsia="Calibri" w:hAnsi="Calibri"/>
        </w:rPr>
        <w:t xml:space="preserve">Release-Ready · Pilot Edition. This guide holds the answer key for teacher use only — keep it separate from student materials.</w:t>
      </w:r>
    </w:p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1. Firm Goals, Flexible Means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One firm learning goal per standard; flexible, universal means. Supports are available by design and never lower the goal. They work alongside — never in place of — required IEP or 504 accommodations.</w:t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The same six labels students see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9"/>
        <w:gridCol w:w="7153"/>
      </w:tblGrid>
      <w:tr>
        <w:trPr>
          <w:tblHeader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Label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Meaning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CORE PATH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Essential instruction every student completes.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SUPPORT OPTION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Optional scaffold that keeps the goal, not lowers it.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LANGUAGE SUPPORT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Vocabulary, pronunciation, and Spanish cognates.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RESPONSE CHOICE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Write, say/record, or diagram.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PROGRESS CHECK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Quick DOK-2/3 check to guide reteach or extend.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EXTENSION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Deeper challenge once the goal is met.</w:t>
            </w:r>
          </w:p>
        </w:tc>
      </w:tr>
    </w:tbl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2. Label-to-Action Table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5"/>
        <w:gridCol w:w="6747"/>
      </w:tblGrid>
      <w:tr>
        <w:trPr>
          <w:tblHeader/>
        </w:trPr>
        <w:tc>
          <w:tcPr>
            <w:tcW w:type="dxa" w:w="304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When you see…</w:t>
            </w:r>
          </w:p>
        </w:tc>
        <w:tc>
          <w:tcPr>
            <w:tcW w:type="dxa" w:w="674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Do this</w:t>
            </w:r>
          </w:p>
        </w:tc>
      </w:tr>
      <w:tr>
        <w:tc>
          <w:tcPr>
            <w:tcW w:type="dxa" w:w="304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CORE PATH</w:t>
            </w:r>
          </w:p>
        </w:tc>
        <w:tc>
          <w:tcPr>
            <w:tcW w:type="dxa" w:w="674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Teach to all; this is the standard expectation.</w:t>
            </w:r>
          </w:p>
        </w:tc>
      </w:tr>
      <w:tr>
        <w:tc>
          <w:tcPr>
            <w:tcW w:type="dxa" w:w="304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SUPPORT OPTION / Guided Back</w:t>
            </w:r>
          </w:p>
        </w:tc>
        <w:tc>
          <w:tcPr>
            <w:tcW w:type="dxa" w:w="674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Offer to any student; never assign by track.</w:t>
            </w:r>
          </w:p>
        </w:tc>
      </w:tr>
      <w:tr>
        <w:tc>
          <w:tcPr>
            <w:tcW w:type="dxa" w:w="304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LANGUAGE SUPPORT</w:t>
            </w:r>
          </w:p>
        </w:tc>
        <w:tc>
          <w:tcPr>
            <w:tcW w:type="dxa" w:w="674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Pre-teach Word Bank terms; use Spanish column for access.</w:t>
            </w:r>
          </w:p>
        </w:tc>
      </w:tr>
      <w:tr>
        <w:tc>
          <w:tcPr>
            <w:tcW w:type="dxa" w:w="304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PROGRESS CHECK</w:t>
            </w:r>
          </w:p>
        </w:tc>
        <w:tc>
          <w:tcPr>
            <w:tcW w:type="dxa" w:w="674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Collect a quick response; route with the Decision Cycle.</w:t>
            </w:r>
          </w:p>
        </w:tc>
      </w:tr>
      <w:tr>
        <w:tc>
          <w:tcPr>
            <w:tcW w:type="dxa" w:w="304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EXTENSION</w:t>
            </w:r>
          </w:p>
        </w:tc>
        <w:tc>
          <w:tcPr>
            <w:tcW w:type="dxa" w:w="674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Offer the higher-DOK CER/Extension Bank to anyone ready.</w:t>
            </w:r>
          </w:p>
        </w:tc>
      </w:tr>
    </w:tbl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3. MTSS — Tiers of Support Intensity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7"/>
        <w:gridCol w:w="3248"/>
        <w:gridCol w:w="4717"/>
      </w:tblGrid>
      <w:tr>
        <w:trPr>
          <w:tblHeader/>
        </w:trPr>
        <w:tc>
          <w:tcPr>
            <w:tcW w:type="dxa" w:w="18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Tier</w:t>
            </w:r>
          </w:p>
        </w:tc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Who / when</w:t>
            </w:r>
          </w:p>
        </w:tc>
        <w:tc>
          <w:tcPr>
            <w:tcW w:type="dxa" w:w="471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In this unit</w:t>
            </w:r>
          </w:p>
        </w:tc>
      </w:tr>
      <w:tr>
        <w:tc>
          <w:tcPr>
            <w:tcW w:type="dxa" w:w="18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Tier 1 (Core)</w:t>
            </w:r>
          </w:p>
        </w:tc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All students</w:t>
            </w:r>
          </w:p>
        </w:tc>
        <w:tc>
          <w:tcPr>
            <w:tcW w:type="dxa" w:w="471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Full deck + workbook CORE PATH, Word Bank, Cornell Notes.</w:t>
            </w:r>
          </w:p>
        </w:tc>
      </w:tr>
      <w:tr>
        <w:tc>
          <w:tcPr>
            <w:tcW w:type="dxa" w:w="18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Tier 2 (Targeted)</w:t>
            </w:r>
          </w:p>
        </w:tc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Students missing a Progress Check</w:t>
            </w:r>
          </w:p>
        </w:tc>
        <w:tc>
          <w:tcPr>
            <w:tcW w:type="dxa" w:w="471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Guided Support Back, sentence frames, Rehearsal Lab.</w:t>
            </w:r>
          </w:p>
        </w:tc>
      </w:tr>
      <w:tr>
        <w:tc>
          <w:tcPr>
            <w:tcW w:type="dxa" w:w="18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Tier 3 (Intensive)</w:t>
            </w:r>
          </w:p>
        </w:tc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Persistent barrier</w:t>
            </w:r>
          </w:p>
        </w:tc>
        <w:tc>
          <w:tcPr>
            <w:tcW w:type="dxa" w:w="471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Pair Guided Back with IEP/504 supports; reteach a step.</w:t>
            </w:r>
          </w:p>
        </w:tc>
      </w:tr>
    </w:tbl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4. The MTSS Decision Cycle</w:t>
      </w:r>
    </w:p>
    <w:p>
      <w:pPr>
        <w:spacing w:after="100"/>
      </w:pPr>
      <w:r>
        <w:rPr>
          <w:b/>
          <w:bCs/>
          <w:i w:val="false"/>
          <w:iCs w:val="false"/>
          <w:color w:val="1B2A4A"/>
          <w:sz w:val="24"/>
          <w:szCs w:val="24"/>
          <w:rFonts w:ascii="Calibri" w:cs="Calibri" w:eastAsia="Calibri" w:hAnsi="Calibri"/>
        </w:rPr>
        <w:t xml:space="preserve">PROGRESS CHECK → identify barrier → select support → reteach → recheck → extend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Scaffold fading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Fade Guided → Light → independent as evidence grows; reintroduce support for a new barrier. Required IEP/504 accommodations do not fade unless the authorized team changes them.</w:t>
            </w:r>
          </w:p>
        </w:tc>
      </w:tr>
    </w:tbl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5. District Review Evidence Snapshot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1"/>
        <w:gridCol w:w="6341"/>
      </w:tblGrid>
      <w:tr>
        <w:trPr>
          <w:tblHeader/>
        </w:trPr>
        <w:tc>
          <w:tcPr>
            <w:tcW w:type="dxa" w:w="345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Criterion</w:t>
            </w:r>
          </w:p>
        </w:tc>
        <w:tc>
          <w:tcPr>
            <w:tcW w:type="dxa" w:w="634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Where it shows</w:t>
            </w:r>
          </w:p>
        </w:tc>
      </w:tr>
      <w:tr>
        <w:tc>
          <w:tcPr>
            <w:tcW w:type="dxa" w:w="345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Standards alignment (GC.31–GC.34)</w:t>
            </w:r>
          </w:p>
        </w:tc>
        <w:tc>
          <w:tcPr>
            <w:tcW w:type="dxa" w:w="634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Standards &amp; SSP Crosswalk; per-standard blocks.</w:t>
            </w:r>
          </w:p>
        </w:tc>
      </w:tr>
      <w:tr>
        <w:tc>
          <w:tcPr>
            <w:tcW w:type="dxa" w:w="345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Public-domain sources, cited</w:t>
            </w:r>
          </w:p>
        </w:tc>
        <w:tc>
          <w:tcPr>
            <w:tcW w:type="dxa" w:w="634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Source Library; Activity 5 each standard.</w:t>
            </w:r>
          </w:p>
        </w:tc>
      </w:tr>
      <w:tr>
        <w:tc>
          <w:tcPr>
            <w:tcW w:type="dxa" w:w="345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UDL 3.0 visible</w:t>
            </w:r>
          </w:p>
        </w:tc>
        <w:tc>
          <w:tcPr>
            <w:tcW w:type="dxa" w:w="634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Accessibility matrix; callouts throughout.</w:t>
            </w:r>
          </w:p>
        </w:tc>
      </w:tr>
      <w:tr>
        <w:tc>
          <w:tcPr>
            <w:tcW w:type="dxa" w:w="345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MTSS</w:t>
            </w:r>
          </w:p>
        </w:tc>
        <w:tc>
          <w:tcPr>
            <w:tcW w:type="dxa" w:w="634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This guide §3–4; wrap-up decision band in the Teacher Deck.</w:t>
            </w:r>
          </w:p>
        </w:tc>
      </w:tr>
      <w:tr>
        <w:tc>
          <w:tcPr>
            <w:tcW w:type="dxa" w:w="345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Assessment integrity</w:t>
            </w:r>
          </w:p>
        </w:tc>
        <w:tc>
          <w:tcPr>
            <w:tcW w:type="dxa" w:w="634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Answer key here (separate); de-biased positions.</w:t>
            </w:r>
          </w:p>
        </w:tc>
      </w:tr>
    </w:tbl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6. Direct Teaching + Cornell Notes + Slide Deck Workflow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Project the Student (Lean) Deck; students take Cornell Notes on the Universal Front. The Teacher (Full) Deck carries Quick Reviews, Guided Practice, Checks for Understanding, and Answer Reveals.</w:t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Verified Lean Student Deck ranges (from the final 64-slide deck)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1"/>
        <w:gridCol w:w="1928"/>
        <w:gridCol w:w="1928"/>
        <w:gridCol w:w="1471"/>
        <w:gridCol w:w="1522"/>
        <w:gridCol w:w="1522"/>
      </w:tblGrid>
      <w:tr>
        <w:trPr>
          <w:tblHeader/>
        </w:trPr>
        <w:tc>
          <w:tcPr>
            <w:tcW w:type="dxa" w:w="142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Standard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Lean Deck range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Direct-teaching</w:t>
            </w:r>
          </w:p>
        </w:tc>
        <w:tc>
          <w:tcPr>
            <w:tcW w:type="dxa" w:w="147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Vocab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Primary source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Progress Check</w:t>
            </w:r>
          </w:p>
        </w:tc>
      </w:tr>
      <w:tr>
        <w:tc>
          <w:tcPr>
            <w:tcW w:type="dxa" w:w="142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GC.31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2–8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4–6</w:t>
            </w:r>
          </w:p>
        </w:tc>
        <w:tc>
          <w:tcPr>
            <w:tcW w:type="dxa" w:w="147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8</w:t>
            </w:r>
          </w:p>
        </w:tc>
      </w:tr>
      <w:tr>
        <w:tc>
          <w:tcPr>
            <w:tcW w:type="dxa" w:w="142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GC.32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2–8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4–6</w:t>
            </w:r>
          </w:p>
        </w:tc>
        <w:tc>
          <w:tcPr>
            <w:tcW w:type="dxa" w:w="147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8</w:t>
            </w:r>
          </w:p>
        </w:tc>
      </w:tr>
      <w:tr>
        <w:tc>
          <w:tcPr>
            <w:tcW w:type="dxa" w:w="142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GC.33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2–8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4–6</w:t>
            </w:r>
          </w:p>
        </w:tc>
        <w:tc>
          <w:tcPr>
            <w:tcW w:type="dxa" w:w="147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8</w:t>
            </w:r>
          </w:p>
        </w:tc>
      </w:tr>
      <w:tr>
        <w:tc>
          <w:tcPr>
            <w:tcW w:type="dxa" w:w="142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GC.34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2–8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4–6</w:t>
            </w:r>
          </w:p>
        </w:tc>
        <w:tc>
          <w:tcPr>
            <w:tcW w:type="dxa" w:w="147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8</w:t>
            </w:r>
          </w:p>
        </w:tc>
      </w:tr>
    </w:tbl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7. What to Print and When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6544"/>
      </w:tblGrid>
      <w:tr>
        <w:trPr>
          <w:tblHeader/>
        </w:trP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Print</w:t>
            </w:r>
          </w:p>
        </w:tc>
        <w:tc>
          <w:tcPr>
            <w:tcW w:type="dxa" w:w="654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When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Cornell Universal Front (per standard)</w:t>
            </w:r>
          </w:p>
        </w:tc>
        <w:tc>
          <w:tcPr>
            <w:tcW w:type="dxa" w:w="654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Day 1 of each standard.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Guided / Light Support Backs</w:t>
            </w:r>
          </w:p>
        </w:tc>
        <w:tc>
          <w:tcPr>
            <w:tcW w:type="dxa" w:w="654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On request only; reverse of the front.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Practice Quiz + CER</w:t>
            </w:r>
          </w:p>
        </w:tc>
        <w:tc>
          <w:tcPr>
            <w:tcW w:type="dxa" w:w="654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After direct teaching, before the standard assessment.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Source Library</w:t>
            </w:r>
          </w:p>
        </w:tc>
        <w:tc>
          <w:tcPr>
            <w:tcW w:type="dxa" w:w="654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Once per unit for reference.</w:t>
            </w:r>
          </w:p>
        </w:tc>
      </w:tr>
    </w:tbl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8. Per-Standard Lesson Sequence &amp; Pacing (one standard = one 45-minute period)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Each standard is taught in a single 45-minute period, but the workbook intentionally holds more activity than one period can fit — run them all and it is roughly 90–105 minutes. That is by design: you choose which activities fill your period, and the rest become bell-ringers, stations, homework, reteach, or extension. The estimates below are honest time-on-task for an average class; adjust for yours. Every workbook activity header shows the same ⏱ estimate so students can self-pace.</w:t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Honest activity time estimates (pick what fills your 45 minutes)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49"/>
        <w:gridCol w:w="913"/>
        <w:gridCol w:w="5530"/>
      </w:tblGrid>
      <w:tr>
        <w:trPr>
          <w:tblHeader/>
        </w:trP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Activity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~Time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Note</w:t>
            </w:r>
          </w:p>
        </w:tc>
      </w:tr>
      <w:t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Standard launch (hook · goal · activate · predict)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5 min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Frames the learning target and the day.</w:t>
            </w:r>
          </w:p>
        </w:tc>
      </w:tr>
      <w:t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Activity 1 — Vocabulary Word Bank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10 min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Reference + self-check + quick-write.</w:t>
            </w:r>
          </w:p>
        </w:tc>
      </w:tr>
      <w:t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Activity 2 — Vocabulary Studio (Frayer)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7 min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One priority term, four quadrants.</w:t>
            </w:r>
          </w:p>
        </w:tc>
      </w:tr>
      <w:t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Activity 3 — Cornell Notes (with slide deck)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20 min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Direct-teaching capture — front + processing back.</w:t>
            </w:r>
          </w:p>
        </w:tc>
      </w:tr>
      <w:t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Activity 4 — Close Read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15 min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Passage, annotation, text-dependent questions.</w:t>
            </w:r>
          </w:p>
        </w:tc>
      </w:tr>
      <w:t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Activity 5 — Primary Source / Data (HIPPO)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15 min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Source + five HIPPO prompts + response.</w:t>
            </w:r>
          </w:p>
        </w:tc>
      </w:tr>
      <w:t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Activity 6 — Practice Quiz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8 min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 few items + one short DOK-3 write.</w:t>
            </w:r>
          </w:p>
        </w:tc>
      </w:tr>
      <w:t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Activity 7 — CER + Exit Ticket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15 min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CER organizer + paragraph (~12) and Exit Ticket (~3).</w:t>
            </w:r>
          </w:p>
        </w:tc>
      </w:tr>
    </w:tbl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Run every activity and a standard totals ≈ 105 minutes (≈ 95 without a map) — about two periods of work compressed into a one-period design. So it is a menu, not a checklist.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How to fill the period — your call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You decide which activities run in class. A common choice is Launch → Cornell Notes with the deck → one analysis activity (Close Read or Primary Source) → the Exit Ticket, but nothing forces that set — pick what your class needs that day.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The Exit Ticket is the daily formative check; try to close every period with it (see §16 for the keys and reteach routing).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Whatever you do not run in class becomes a bell-ringer, station, early-finisher task, homework, reteach, or extension. Rigor stays the same for every learner; UDL/MTSS supports layer on without lowering the bar.</w:t>
            </w:r>
          </w:p>
        </w:tc>
      </w:tr>
    </w:tbl>
    <w:p>
      <w:r>
        <w:br w:type="page"/>
      </w:r>
    </w:p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9. Assessment Source &amp; Item Metadata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Each standard’s Progress Check / Transfer Check is a Teacher-Deck Check for Understanding (DOK 2–3). The additional Practice-Quiz DOK-1 items are Government Hack-authored recall items. All items are pre-field-test (classroom-formative), not a secure TCAP form. Correct-answer positions are de-biased and identical across Student Progress Check, Teacher CFU/Reveal, and the workbook Transfer Check.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De-biased key distribution (Transfer Checks, GC.31–GC.34)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B · C · A · D</w:t>
            </w:r>
          </w:p>
        </w:tc>
      </w:tr>
    </w:tbl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10. Practice Quiz — Answer Key &amp; Rationales</w:t>
      </w:r>
    </w:p>
    <w:p>
      <w:pPr>
        <w:spacing w:after="100"/>
      </w:pPr>
      <w:r>
        <w:rPr>
          <w:b w:val="false"/>
          <w:bCs w:val="false"/>
          <w:i/>
          <w:iCs/>
          <w:color w:val="6B7280"/>
          <w:sz w:val="20"/>
          <w:szCs w:val="20"/>
          <w:rFonts w:ascii="Calibri" w:cs="Calibri" w:eastAsia="Calibri" w:hAnsi="Calibri"/>
        </w:rPr>
        <w:t xml:space="preserve">For teacher use only — keep separate from student copies.</w:t>
      </w:r>
    </w:p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GC.31 — The Responsibilities of Citizens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9"/>
        <w:gridCol w:w="913"/>
        <w:gridCol w:w="913"/>
        <w:gridCol w:w="5327"/>
      </w:tblGrid>
      <w:tr>
        <w:trPr>
          <w:tblHeader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Rationale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u2-gc31-dok1-1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Recall of the standard’s core term/fact.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u1-gc31-dok2-tc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DOK 2: Jefferson ties self-government to an informed public — informed citizens 'can be trusted with their own government,' which is why being informed is a core civic responsibility.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GC.32 — Political Parties &amp; the Nomination Process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9"/>
        <w:gridCol w:w="913"/>
        <w:gridCol w:w="913"/>
        <w:gridCol w:w="5327"/>
      </w:tblGrid>
      <w:tr>
        <w:trPr>
          <w:tblHeader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Rationale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u2-gc32-dok1-1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Recall of the standard’s core term/fact.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u1-gc32-dok2-tc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DOK 2: Both are ways parties pick nominees, but a primary is a ballot election while a caucus selects candidates through in-person party meetings and discussion.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GC.33 — The Media &amp; Public Opinion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9"/>
        <w:gridCol w:w="913"/>
        <w:gridCol w:w="913"/>
        <w:gridCol w:w="5327"/>
      </w:tblGrid>
      <w:tr>
        <w:trPr>
          <w:tblHeader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Rationale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u2-gc33-dok1-1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Recall of the standard’s core term/fact.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u1-gc33-dok3-tc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DOK 3: Poll results depend on how questions are framed; loaded or leading wording can push respondents toward an answer, so wording — not just sample size — shapes what a poll appears to show.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GC.34 — Means of Political Participation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9"/>
        <w:gridCol w:w="913"/>
        <w:gridCol w:w="913"/>
        <w:gridCol w:w="5327"/>
      </w:tblGrid>
      <w:tr>
        <w:trPr>
          <w:tblHeader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Rationale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u2-gc34-dok1-1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Recall of the standard’s core term/fact.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u1-gc34-dok2-tc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DOK 2: The First Amendment protects 'the right of the people peaceably to assemble, and to petition the Government for a redress of grievances' — the direct basis for protests and petitions.</w:t>
            </w:r>
          </w:p>
        </w:tc>
      </w:tr>
    </w:tbl>
    <w:p>
      <w:r>
        <w:br w:type="page"/>
      </w:r>
    </w:p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11. How CAST UDL 3.0 Is Visible in Unit 1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9"/>
        <w:gridCol w:w="7153"/>
      </w:tblGrid>
      <w:tr>
        <w:trPr>
          <w:tblHeader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UDL principle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In this unit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Engagement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Response choice; Tennessee Connection relevance; optional extensions.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Representation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Word Bank + pronunciation + Spanish; Close-Read supports; HIPPO scaffold.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Action &amp; Expression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Write / say / diagram; Frayer studio; CER with rubric.</w:t>
            </w:r>
          </w:p>
        </w:tc>
      </w:tr>
    </w:tbl>
    <w:p>
      <w:pPr>
        <w:spacing w:after="100"/>
      </w:pPr>
      <w:r>
        <w:rPr>
          <w:b w:val="false"/>
          <w:bCs w:val="false"/>
          <w:i/>
          <w:iCs/>
          <w:color w:val="6B7280"/>
          <w:sz w:val="20"/>
          <w:szCs w:val="20"/>
          <w:rFonts w:ascii="Calibri" w:cs="Calibri" w:eastAsia="Calibri" w:hAnsi="Calibri"/>
        </w:rPr>
        <w:t xml:space="preserve">No fixed-track labels appear anywhere in the student materials; supports are universal and optional.</w:t>
      </w:r>
    </w:p>
    <w:p>
      <w:r>
        <w:br w:type="page"/>
      </w:r>
    </w:p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12. Printable Blank Templates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Reusable blank versions of the two most-printed student pages — print as many as you need for any lesson. Each is designed to fill one page; the Cornell notes are meant to print duplex with a support scaffold on the reverse.</w:t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Blank Cornell Notes — Universal Front (printable)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Name: ______________________    Class / Period: __________    Date: __________    Topic: ______________________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LEARNING TARGET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I can __________________________________________________________________________________</w:t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9"/>
        <w:gridCol w:w="7153"/>
      </w:tblGrid>
      <w:tr>
        <w:trPr>
          <w:tblHeader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B2A4A"/>
                <w:sz w:val="18"/>
                <w:szCs w:val="18"/>
                <w:rFonts w:ascii="Calibri" w:cs="Calibri" w:eastAsia="Calibri" w:hAnsi="Calibri"/>
              </w:rPr>
              <w:t xml:space="preserve">Guiding cues (about 25%)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My notes (about 75%)</w:t>
            </w:r>
          </w:p>
        </w:tc>
      </w:tr>
      <w:tr>
        <w:trPr>
          <w:trHeight w:val="900" w:hRule="atLeast"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rPr>
          <w:trHeight w:val="900" w:hRule="atLeast"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rPr>
          <w:trHeight w:val="900" w:hRule="atLeast"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rPr>
          <w:trHeight w:val="900" w:hRule="atLeast"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</w:tbl>
    <w:p>
      <w:pPr>
        <w:spacing w:after="100"/>
      </w:pPr>
      <w:r>
        <w:rPr>
          <w:b w:val="false"/>
          <w:bCs w:val="false"/>
          <w:i/>
          <w:iCs/>
          <w:color w:val="6B7280"/>
          <w:sz w:val="18"/>
          <w:szCs w:val="18"/>
          <w:rFonts w:ascii="Calibri" w:cs="Calibri" w:eastAsia="Calibri" w:hAnsi="Calibri"/>
        </w:rPr>
        <w:t xml:space="preserve">The 25/75 split describes the approximate width of each writing column (label, not a fixed track).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Key terms to list</w:t>
            </w:r>
          </w:p>
        </w:tc>
      </w:tr>
      <w:tr>
        <w:trPr>
          <w:trHeight w:val="420" w:hRule="atLeast"/>
        </w:trP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Summary — In your own words (2–3 sentences)</w:t>
            </w:r>
          </w:p>
        </w:tc>
      </w:tr>
      <w:tr>
        <w:trPr>
          <w:trHeight w:val="560" w:hRule="atLeast"/>
        </w:trP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rPr>
          <w:trHeight w:val="560" w:hRule="atLeast"/>
        </w:trP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My 12–15 word headline</w:t>
            </w:r>
          </w:p>
        </w:tc>
      </w:tr>
      <w:tr>
        <w:trPr>
          <w:trHeight w:val="460" w:hRule="atLeast"/>
        </w:trP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</w:tbl>
    <w:p>
      <w:pPr>
        <w:spacing w:after="100"/>
      </w:pPr>
      <w:r>
        <w:rPr>
          <w:b w:val="false"/>
          <w:bCs w:val="false"/>
          <w:i/>
          <w:iCs/>
          <w:color w:val="6B7280"/>
          <w:sz w:val="18"/>
          <w:szCs w:val="18"/>
          <w:rFonts w:ascii="Calibri" w:cs="Calibri" w:eastAsia="Calibri" w:hAnsi="Calibri"/>
        </w:rPr>
        <w:t xml:space="preserve">Print duplex: the Guided or Light Support for these notes goes on the reverse of this page.</w:t>
      </w:r>
    </w:p>
    <w:p>
      <w:r>
        <w:br w:type="page"/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Blank Vocabulary Studio — Frayer (printable)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RESPONSE CHOICE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Complete the studio by writing, speaking, or diagramming.</w:t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89B3C"/>
                <w:sz w:val="16"/>
                <w:szCs w:val="16"/>
                <w:rFonts w:ascii="Calibri" w:cs="Calibri" w:eastAsia="Calibri" w:hAnsi="Calibri"/>
              </w:rPr>
              <w:t xml:space="preserve">PRIORITY TERM</w:t>
            </w:r>
            <w:r>
              <w:rPr>
                <w:b/>
                <w:bCs/>
                <w:i w:val="false"/>
                <w:iCs w:val="false"/>
                <w:color w:val="FFFFFF"/>
                <w:sz w:val="24"/>
                <w:szCs w:val="24"/>
                <w:rFonts w:ascii="Calibri" w:cs="Calibri" w:eastAsia="Calibri" w:hAnsi="Calibri"/>
              </w:rPr>
              <w:t xml:space="preserve">     __________________________     ES: __________________</w:t>
            </w:r>
          </w:p>
        </w:tc>
      </w:tr>
    </w:tbl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Calibri" w:cs="Calibri" w:eastAsia="Calibri" w:hAnsi="Calibri"/>
        </w:rPr>
        <w:t xml:space="preserve">Word-bank meaning to build on: ______________________________________________________________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96"/>
        <w:gridCol w:w="4896"/>
      </w:tblGrid>
      <w:tr>
        <w:trPr>
          <w:tblHeader/>
        </w:trPr>
        <w:tc>
          <w:tcPr>
            <w:tcW w:type="dxa" w:w="489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B2A4A"/>
                <w:sz w:val="18"/>
                <w:szCs w:val="18"/>
                <w:rFonts w:ascii="Calibri" w:cs="Calibri" w:eastAsia="Calibri" w:hAnsi="Calibri"/>
              </w:rPr>
              <w:t xml:space="preserve">Definition (in your own words)</w:t>
            </w:r>
          </w:p>
        </w:tc>
        <w:tc>
          <w:tcPr>
            <w:tcW w:type="dxa" w:w="489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Characteristics</w:t>
            </w:r>
          </w:p>
        </w:tc>
      </w:tr>
      <w:tr>
        <w:trPr>
          <w:trHeight w:val="900" w:hRule="atLeast"/>
        </w:trPr>
        <w:tc>
          <w:tcPr>
            <w:tcW w:type="dxa" w:w="489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489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rPr>
          <w:trHeight w:val="900" w:hRule="atLeast"/>
        </w:trPr>
        <w:tc>
          <w:tcPr>
            <w:tcW w:type="dxa" w:w="489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Examples</w:t>
            </w:r>
          </w:p>
        </w:tc>
        <w:tc>
          <w:tcPr>
            <w:tcW w:type="dxa" w:w="489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Non-examples</w:t>
            </w:r>
          </w:p>
        </w:tc>
      </w:tr>
      <w:tr>
        <w:trPr>
          <w:trHeight w:val="900" w:hRule="atLeast"/>
        </w:trPr>
        <w:tc>
          <w:tcPr>
            <w:tcW w:type="dxa" w:w="489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489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Use it to explain — write one sentence that uses the term</w:t>
            </w:r>
          </w:p>
        </w:tc>
      </w:tr>
      <w:tr>
        <w:trPr>
          <w:trHeight w:val="520" w:hRule="atLeast"/>
        </w:trP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</w:tbl>
    <w:p>
      <w:r>
        <w:br w:type="page"/>
      </w:r>
    </w:p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13. Social Studies Practices (SSP) Crosswalk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Each activity in the seven-activity cycle builds specific Tennessee Social Studies Practices. Every SSP.01–SSP.06 is covered within each standard’s cycle.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1928"/>
        <w:gridCol w:w="4616"/>
      </w:tblGrid>
      <w:tr>
        <w:trPr>
          <w:tblHeader/>
        </w:trP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Activity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Builds</w:t>
            </w:r>
          </w:p>
        </w:tc>
        <w:tc>
          <w:tcPr>
            <w:tcW w:type="dxa" w:w="461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Practice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Cornell Notes (Activity 3)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SSP.05</w:t>
            </w:r>
          </w:p>
        </w:tc>
        <w:tc>
          <w:tcPr>
            <w:tcW w:type="dxa" w:w="461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Develop historical awareness — sequence events, recognize cause &amp; effect.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Close Read (Activity 4)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SSP.03 · SSP.05</w:t>
            </w:r>
          </w:p>
        </w:tc>
        <w:tc>
          <w:tcPr>
            <w:tcW w:type="dxa" w:w="461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Synthesize data from multiple sources; historical awareness.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Primary Source / HIPPO (Activity 5)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SSP.01 · SSP.02</w:t>
            </w:r>
          </w:p>
        </w:tc>
        <w:tc>
          <w:tcPr>
            <w:tcW w:type="dxa" w:w="461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Gather, analyze, and evaluate sources; critically examine a source for point of view, bias, context.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Geographer’s Lens (G-tagged standards)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SSP.06</w:t>
            </w:r>
          </w:p>
        </w:tc>
        <w:tc>
          <w:tcPr>
            <w:tcW w:type="dxa" w:w="461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Analyze relationships among geography, economics, and society across time and place.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Practice Quiz (Activity 6)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SSP.01–06 (assessed)</w:t>
            </w:r>
          </w:p>
        </w:tc>
        <w:tc>
          <w:tcPr>
            <w:tcW w:type="dxa" w:w="461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Applied across items.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CER (Activity 7)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SSP.04</w:t>
            </w:r>
          </w:p>
        </w:tc>
        <w:tc>
          <w:tcPr>
            <w:tcW w:type="dxa" w:w="461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Construct and communicate arguments citing supporting evidence.</w:t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Coverage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All six practices (SSP.01–SSP.06) are built within every standard’s cycle.</w:t>
            </w:r>
          </w:p>
        </w:tc>
      </w:tr>
    </w:tbl>
    <w:p>
      <w:r>
        <w:br w:type="page"/>
      </w:r>
    </w:p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14. Standard Dimension Coverage (C · E · G · H · P · T · TCA)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Each TN standard carries dimension tags. This crosswalk shows where each dimension is taught within the standard — evidence of full coverage for adoption review. Students see these as plain-language “lenses” on each standard’s opening page.</w:t>
      </w:r>
    </w:p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GC.31 — The Responsibilities of Citizens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2"/>
        <w:gridCol w:w="6950"/>
      </w:tblGrid>
      <w:tr>
        <w:trPr>
          <w:tblHeader/>
        </w:trP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Dimension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Where it is taught in this standard</w:t>
            </w:r>
          </w:p>
        </w:tc>
      </w:tr>
      <w:t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Culture (C)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How shared expectations of citizens sustain a civic culture.</w:t>
            </w:r>
          </w:p>
        </w:tc>
      </w:tr>
      <w:t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Tennessee (T)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State-specific jury and voter requirements, including establishing Tennessee residency.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GC.32 — Political Parties &amp; the Nomination Process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2"/>
        <w:gridCol w:w="6950"/>
      </w:tblGrid>
      <w:tr>
        <w:trPr>
          <w:tblHeader/>
        </w:trP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Dimension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Where it is taught in this standard</w:t>
            </w:r>
          </w:p>
        </w:tc>
      </w:tr>
      <w:t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Tennessee (T)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How Tennessee conducts its primaries and participates in the presidential nomination process.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GC.33 — The Media &amp; Public Opinion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2"/>
        <w:gridCol w:w="6950"/>
      </w:tblGrid>
      <w:tr>
        <w:trPr>
          <w:tblHeader/>
        </w:trP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Dimension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Where it is taught in this standard</w:t>
            </w:r>
          </w:p>
        </w:tc>
      </w:tr>
      <w:t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Tennessee (T)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How Tennessee voters get civic information and how local media shape state and local issues.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GC.34 — Means of Political Participation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2"/>
        <w:gridCol w:w="6950"/>
      </w:tblGrid>
      <w:tr>
        <w:trPr>
          <w:tblHeader/>
        </w:trP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Dimension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Where it is taught in this standard</w:t>
            </w:r>
          </w:p>
        </w:tc>
      </w:tr>
      <w:t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Tennessee (T)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How Tennesseans participate locally — from council meetings to petitions — and which direct-democracy tools the state uses.</w:t>
            </w:r>
          </w:p>
        </w:tc>
      </w:tr>
    </w:tbl>
    <w:p>
      <w:r>
        <w:br w:type="page"/>
      </w:r>
    </w:p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15. Constructed Response (CER) — 6-Point Rubric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The course’s canonical constructed-response scale. Student materials use the simple Full / Developing / Beginning per part; teachers score with the 6-point guide below (aligns with the DBQ/CER rubric bank).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1725"/>
        <w:gridCol w:w="7255"/>
      </w:tblGrid>
      <w:tr>
        <w:trPr>
          <w:tblHeader/>
        </w:trPr>
        <w:tc>
          <w:tcPr>
            <w:tcW w:type="dxa" w:w="81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Score</w:t>
            </w:r>
          </w:p>
        </w:tc>
        <w:tc>
          <w:tcPr>
            <w:tcW w:type="dxa" w:w="172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Level</w:t>
            </w:r>
          </w:p>
        </w:tc>
        <w:tc>
          <w:tcPr>
            <w:tcW w:type="dxa" w:w="725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What it looks like</w:t>
            </w:r>
          </w:p>
        </w:tc>
      </w:tr>
      <w:tr>
        <w:tc>
          <w:tcPr>
            <w:tcW w:type="dxa" w:w="81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172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Exemplary</w:t>
            </w:r>
          </w:p>
        </w:tc>
        <w:tc>
          <w:tcPr>
            <w:tcW w:type="dxa" w:w="725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Defensible, insightful claim; TWO or more precise, accurate pieces of evidence; reasoning fully explains HOW the evidence proves the claim; cohesive and sophisticated.</w:t>
            </w:r>
          </w:p>
        </w:tc>
      </w:tr>
      <w:tr>
        <w:tc>
          <w:tcPr>
            <w:tcW w:type="dxa" w:w="81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172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Advanced</w:t>
            </w:r>
          </w:p>
        </w:tc>
        <w:tc>
          <w:tcPr>
            <w:tcW w:type="dxa" w:w="725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Clear claim; strong, accurate evidence; reasoning explains the link with only minor gaps.</w:t>
            </w:r>
          </w:p>
        </w:tc>
      </w:tr>
      <w:tr>
        <w:tc>
          <w:tcPr>
            <w:tcW w:type="dxa" w:w="81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72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Proficient</w:t>
            </w:r>
          </w:p>
        </w:tc>
        <w:tc>
          <w:tcPr>
            <w:tcW w:type="dxa" w:w="725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Adequate claim; some specific evidence; reasoning present but general.</w:t>
            </w:r>
          </w:p>
        </w:tc>
      </w:tr>
      <w:tr>
        <w:tc>
          <w:tcPr>
            <w:tcW w:type="dxa" w:w="81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72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Adequate</w:t>
            </w:r>
          </w:p>
        </w:tc>
        <w:tc>
          <w:tcPr>
            <w:tcW w:type="dxa" w:w="725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Basic claim; limited or partly accurate evidence; reasoning thin.</w:t>
            </w:r>
          </w:p>
        </w:tc>
      </w:tr>
      <w:tr>
        <w:tc>
          <w:tcPr>
            <w:tcW w:type="dxa" w:w="81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72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Developing</w:t>
            </w:r>
          </w:p>
        </w:tc>
        <w:tc>
          <w:tcPr>
            <w:tcW w:type="dxa" w:w="725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Vague claim; little evidence; evidence largely unexplained.</w:t>
            </w:r>
          </w:p>
        </w:tc>
      </w:tr>
      <w:tr>
        <w:tc>
          <w:tcPr>
            <w:tcW w:type="dxa" w:w="81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72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Beginning</w:t>
            </w:r>
          </w:p>
        </w:tc>
        <w:tc>
          <w:tcPr>
            <w:tcW w:type="dxa" w:w="725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No clear claim; little or no evidence; no reasoning.</w:t>
            </w:r>
          </w:p>
        </w:tc>
      </w:tr>
    </w:tbl>
    <w:p>
      <w:pPr>
        <w:spacing w:after="100"/>
      </w:pPr>
      <w:r>
        <w:rPr>
          <w:b w:val="false"/>
          <w:bCs w:val="false"/>
          <w:i/>
          <w:iCs/>
          <w:color w:val="6B7280"/>
          <w:sz w:val="18"/>
          <w:szCs w:val="18"/>
          <w:rFonts w:ascii="Calibri" w:cs="Calibri" w:eastAsia="Calibri" w:hAnsi="Calibri"/>
        </w:rPr>
        <w:t xml:space="preserve">Swap in your bank’s exact CER rubric text if it differs; the 6-point scale (6 Exemplary → 1 Beginning) is the course convention.</w:t>
      </w:r>
    </w:p>
    <w:p>
      <w:r>
        <w:br w:type="page"/>
      </w:r>
    </w:p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16. Exit Ticket Answer Keys + What’s Next (reteach)</w:t>
      </w:r>
    </w:p>
    <w:p>
      <w:pPr>
        <w:spacing w:after="100"/>
      </w:pPr>
      <w:r>
        <w:rPr>
          <w:b w:val="false"/>
          <w:bCs w:val="false"/>
          <w:i/>
          <w:iCs/>
          <w:color w:val="6B7280"/>
          <w:sz w:val="20"/>
          <w:szCs w:val="20"/>
          <w:rFonts w:ascii="Calibri" w:cs="Calibri" w:eastAsia="Calibri" w:hAnsi="Calibri"/>
        </w:rPr>
        <w:t xml:space="preserve">For teacher use only — keep separate from student copies. Each standard’s Exit Ticket (end of the standard, on the CER page) with its key and reteach routing. Items are pre-field-test.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3"/>
        <w:gridCol w:w="1928"/>
        <w:gridCol w:w="710"/>
        <w:gridCol w:w="710"/>
        <w:gridCol w:w="5531"/>
      </w:tblGrid>
      <w:tr>
        <w:trPr>
          <w:tblHeader/>
        </w:trPr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Std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71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71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553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What’s Next if a student misses it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152" w:right="1224" w:bottom="1152" w:left="122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b w:val="false"/>
        <w:bCs w:val="false"/>
        <w:i w:val="false"/>
        <w:iCs w:val="false"/>
        <w:color w:val="6B7280"/>
        <w:sz w:val="15"/>
        <w:szCs w:val="15"/>
        <w:rFonts w:ascii="Calibri" w:cs="Calibri" w:eastAsia="Calibri" w:hAnsi="Calibri"/>
      </w:rPr>
      <w:t xml:space="preserve">Government Hack™ · Unit 2 Teacher Guide   © 2026 TroopToTeacher Technologies LLC   |   Page </w:t>
    </w:r>
    <w:r>
      <w:rPr>
        <w:b/>
        <w:bCs/>
        <w:color w:val="6B7280"/>
        <w:sz w:val="15"/>
        <w:szCs w:val="15"/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b/>
        <w:bCs/>
        <w:i w:val="false"/>
        <w:iCs w:val="false"/>
        <w:color w:val="C89B3C"/>
        <w:sz w:val="16"/>
        <w:szCs w:val="16"/>
        <w:rFonts w:ascii="Calibri" w:cs="Calibri" w:eastAsia="Calibri" w:hAnsi="Calibri"/>
      </w:rPr>
      <w:t xml:space="preserve">Government Hack™ · Unit 2 Teacher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keepNext/>
      <w:spacing w:before="220" w:after="90"/>
      <w:outlineLvl w:val="0"/>
    </w:pPr>
    <w:rPr>
      <w:b/>
      <w:bCs/>
      <w:color w:val="1B2A4A"/>
      <w:sz w:val="36"/>
      <w:szCs w:val="36"/>
      <w:rFonts w:ascii="Calibri" w:cs="Calibri" w:eastAsia="Calibri" w:hAnsi="Calibri"/>
    </w:rPr>
  </w:style>
  <w:style w:type="paragraph" w:styleId="Heading2">
    <w:name w:val="Heading 2"/>
    <w:basedOn w:val="Normal"/>
    <w:next w:val="Normal"/>
    <w:pPr>
      <w:keepNext/>
      <w:spacing w:before="150" w:after="80"/>
      <w:outlineLvl w:val="1"/>
    </w:pPr>
    <w:rPr>
      <w:b/>
      <w:bCs/>
      <w:color w:val="1B2A4A"/>
      <w:sz w:val="28"/>
      <w:szCs w:val="28"/>
      <w:rFonts w:ascii="Calibri" w:cs="Calibri" w:eastAsia="Calibri" w:hAnsi="Calibri"/>
    </w:rPr>
  </w:style>
  <w:style w:type="paragraph" w:styleId="Heading3">
    <w:name w:val="Heading 3"/>
    <w:basedOn w:val="Normal"/>
    <w:next w:val="Normal"/>
    <w:pPr>
      <w:keepNext/>
      <w:spacing w:before="120" w:after="70"/>
      <w:outlineLvl w:val="2"/>
    </w:pPr>
    <w:rPr>
      <w:b/>
      <w:bCs/>
      <w:color w:val="B22234"/>
      <w:sz w:val="24"/>
      <w:szCs w:val="24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Government Hack — Unit 2 Teacher How-to-Use &amp; MTSS Guide</dc:title>
  <dc:creator>TroopToTeacher Technologies LLC</dc:creator>
  <cp:lastModifiedBy>Un-named</cp:lastModifiedBy>
  <cp:revision>1</cp:revision>
  <dcterms:created xsi:type="dcterms:W3CDTF">2026-07-30T11:52:10.630Z</dcterms:created>
  <dcterms:modified xsi:type="dcterms:W3CDTF">2026-07-30T11:52:10.630Z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