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Unit 2 — Teacher How-to-Use &amp; MTSS Guide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2"/>
          <w:szCs w:val="22"/>
          <w:rFonts w:ascii="Calibri" w:cs="Calibri" w:eastAsia="Calibri" w:hAnsi="Calibri"/>
        </w:rPr>
        <w:t xml:space="preserve">Citizen Participation · Course Standard · GC.31–GC.34 · Grades 9–12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1. Firm Goals, Flexible Means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The same six labels students see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Label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Meaning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Essential instruction every student completes.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Optional scaffold that keeps the goal, not lowers it.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Vocabulary, pronunciation, and Spanish cognates.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Write, say/record, or diagram.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Quick DOK-2/3 check to guide reteach or extend.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2. Label-to-Action Table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48"/>
      </w:tblGrid>
      <w:tr>
        <w:trPr>
          <w:tblHeader/>
        </w:trP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 you see…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 this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CORE PATH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Teach to all; this is the standard expectation.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SUPPORT OPTION / Guided Back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to any student; never assign by track.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LANGUAGE SUPPORT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PROGRESS CHECK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EXTENSION</w:t>
            </w:r>
          </w:p>
        </w:tc>
        <w:tc>
          <w:tcPr>
            <w:tcW w:type="dxa" w:w="6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3. MTSS — Tiers of Support Intensity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648"/>
      </w:tblGrid>
      <w:tr>
        <w:trPr>
          <w:tblHeader/>
        </w:trP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Tier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Who / when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1 (Core)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All students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2 (Targeted)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Students missing a Progress Check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Support Back, sentence frames, Rehearsal Lab.</w:t>
            </w:r>
          </w:p>
        </w:tc>
      </w:tr>
      <w:tr>
        <w:tc>
          <w:tcPr>
            <w:tcW w:type="dxa" w:w="1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Tier 3 (Intensive)</w:t>
            </w:r>
          </w:p>
        </w:tc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Persistent barrier</w:t>
            </w:r>
          </w:p>
        </w:tc>
        <w:tc>
          <w:tcPr>
            <w:tcW w:type="dxa" w:w="4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4. The MTSS Decision Cycle</w:t>
      </w:r>
    </w:p>
    <w:p>
      <w:pPr>
        <w:spacing w:after="100"/>
      </w:pPr>
      <w:r>
        <w:rPr>
          <w:b/>
          <w:bCs/>
          <w:i w:val="false"/>
          <w:iCs w:val="false"/>
          <w:color w:val="1B2A4A"/>
          <w:sz w:val="24"/>
          <w:szCs w:val="24"/>
          <w:rFonts w:ascii="Calibri" w:cs="Calibri" w:eastAsia="Calibri" w:hAnsi="Calibri"/>
        </w:rPr>
        <w:t xml:space="preserve">PROGRESS CHECK → identify barrier → select support → reteach → recheck → extend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5. District Review Evidence Snapshot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48"/>
      </w:tblGrid>
      <w:tr>
        <w:trPr>
          <w:tblHeader/>
        </w:trP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Criterion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shows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alignment (GC.31–GC.34)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Standards &amp; SSP Crosswalk; per-standard blocks.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Public-domain sources, cited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Library; Activity 5 each standard.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UDL 3.0 visible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Accessibility matrix; callouts throughout.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MTSS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Assessment integrity</w:t>
            </w:r>
          </w:p>
        </w:tc>
        <w:tc>
          <w:tcPr>
            <w:tcW w:type="dxa" w:w="6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6. Direct Teaching + Cornell Notes + Slide Deck Workflow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Verified Lean Student Deck ranges (from the final 64-slide deck)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1900"/>
        <w:gridCol w:w="1449"/>
        <w:gridCol w:w="1500"/>
        <w:gridCol w:w="1499"/>
      </w:tblGrid>
      <w:tr>
        <w:trPr>
          <w:tblHeader/>
        </w:trP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Lean Deck range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Direct-teaching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Vocab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Primary source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Progress Check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GC.31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GC.32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GC.33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  <w:tr>
        <w:tc>
          <w:tcPr>
            <w:tcW w:type="dxa" w:w="14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GC.34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2–8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4–6</w:t>
            </w:r>
          </w:p>
        </w:tc>
        <w:tc>
          <w:tcPr>
            <w:tcW w:type="dxa" w:w="1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49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7. What to Print and When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Print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When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Universal Front (per standard)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Day 1 of each standard.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Guided / Light Support Backs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 request only; reverse of the front.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+ CER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Library</w:t>
            </w:r>
          </w:p>
        </w:tc>
        <w:tc>
          <w:tcPr>
            <w:tcW w:type="dxa" w:w="6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Honest activity time estimates (pick what fills your 45 minutes)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900"/>
        <w:gridCol w:w="5448"/>
      </w:tblGrid>
      <w:tr>
        <w:trPr>
          <w:tblHeader/>
        </w:trP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~Time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Note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Standard launch (hook · goal · activate · predict)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Frames the learning target and the day.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1 — Vocabulary Word Bank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Reference + self-check + quick-write.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2 — Vocabulary Studio (Frayer)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7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One priority term, four quadrants.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3 — Cornell Notes (with slide deck)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20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Direct-teaching capture — front + processing back.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4 — Close Read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Passage, annotation, text-dependent questions.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5 — Primary Source / Data (HIPPO)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Source + five HIPPO prompts + response.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6 — Practice Quiz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8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 few items + one short DOK-3 write.</w:t>
            </w:r>
          </w:p>
        </w:tc>
      </w:tr>
      <w:tr>
        <w:tc>
          <w:tcPr>
            <w:tcW w:type="dxa" w:w="33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Activity 7 — CER + Exit Ticket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15 min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9. Assessment Source &amp; Item Metadata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standard’s Progress Check / Transfer Check is a Teacher-Deck Check for Understanding (DOK 2–3). The additional Practice-Quiz DOK-1 items are Government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De-biased key distribution (Transfer Checks, GC.31–GC.34)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B · C · A · D</w:t>
            </w:r>
          </w:p>
        </w:tc>
      </w:tr>
    </w:tbl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10. Practice Quiz — Answer Key &amp; Rationales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GC.31 — The Responsibilities of Citizens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u2-gc31-dok1-1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u1-gc31-dok2-tc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Jefferson ties self-government to an informed public — informed citizens 'can be trusted with their own government,' which is why being informed is a core civic responsibility.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GC.32 — Political Parties &amp; the Nomination Process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u2-gc32-dok1-1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u1-gc32-dok2-tc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Both are ways parties pick nominees, but a primary is a ballot election while a caucus selects candidates through in-person party meetings and discussion.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GC.33 — The Media &amp; Public Opinion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u2-gc33-dok1-1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u1-gc33-dok3-tc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3: Poll results depend on how questions are framed; loaded or leading wording can push respondents toward an answer, so wording — not just sample size — shapes what a poll appears to show.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GC.34 — Means of Political Participation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52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Rationale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u2-gc34-dok1-1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Recall of the standard’s core term/fact.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u1-gc34-dok2-tc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5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DOK 2: The First Amendment protects 'the right of the people peaceably to assemble, and to petition the Government for a redress of grievances' — the direct basis for protests and petitions.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11. How CAST UDL 3.0 Is Visible in Unit 1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UDL principle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In this unit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Engagement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Representation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Action &amp; Expression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No fixed-track labels appear anywhere in the student materials; supports are universal and optional.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12. Printable Blank Templates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Cornell Notes — Universal Front (printable)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    Class / Period: __________    Date: __________    Topic: 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48"/>
      </w:tblGrid>
      <w:tr>
        <w:trPr>
          <w:tblHeader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Guiding cues (about 25%)</w:t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26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70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The 25/75 split describes the approximate width of each writing column (label, not a fixed track).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5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Print duplex: the Guided or Light Support for these notes goes on the reverse of this page.</w:t>
      </w:r>
    </w:p>
    <w:p>
      <w:r>
        <w:br w:type="page"/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Blank Vocabulary Studio — Frayer (printable)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Complete the studio by writing, speaking, or diagramming.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C89B3C"/>
                <w:sz w:val="16"/>
                <w:szCs w:val="16"/>
                <w:rFonts w:ascii="Calibri" w:cs="Calibri" w:eastAsia="Calibri" w:hAnsi="Calibri"/>
              </w:rPr>
              <w:t xml:space="preserve">PRIORITY TERM</w:t>
            </w:r>
            <w:r>
              <w:rPr>
                <w:b/>
                <w:bCs/>
                <w:i w:val="false"/>
                <w:iCs w:val="false"/>
                <w:color w:val="FFFFFF"/>
                <w:sz w:val="24"/>
                <w:szCs w:val="24"/>
                <w:rFonts w:ascii="Calibri" w:cs="Calibri" w:eastAsia="Calibri" w:hAnsi="Calibri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0"/>
          <w:szCs w:val="20"/>
          <w:rFonts w:ascii="Calibri" w:cs="Calibri" w:eastAsia="Calibri" w:hAnsi="Calibri"/>
        </w:rPr>
        <w:t xml:space="preserve">Word-bank meaning to build on: ______________________________________________________________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4"/>
        <w:gridCol w:w="4824"/>
      </w:tblGrid>
      <w:tr>
        <w:trPr>
          <w:tblHeader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18"/>
                <w:szCs w:val="18"/>
                <w:rFonts w:ascii="Calibri" w:cs="Calibri" w:eastAsia="Calibri" w:hAnsi="Calibri"/>
              </w:rPr>
              <w:t xml:space="preserve">Definition (in your own words)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Examples</w:t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  <w:tc>
          <w:tcPr>
            <w:tcW w:type="dxa" w:w="482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13. Social Studies Practices (SSP) Crosswalk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900"/>
        <w:gridCol w:w="4548"/>
      </w:tblGrid>
      <w:tr>
        <w:trPr>
          <w:tblHeader/>
        </w:trP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Activity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Builds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Practice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Cornell Notes (Activity 3)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Close Read (Activity 4)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SSP.03 · SSP.05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Primary Source / HIPPO (Activity 5)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 · SSP.02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Geographer’s Lens (G-tagged standards)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SSP.06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Practice Quiz (Activity 6)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SSP.01–06 (assessed)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Applied across items.</w:t>
            </w:r>
          </w:p>
        </w:tc>
      </w:tr>
      <w:tr>
        <w:tc>
          <w:tcPr>
            <w:tcW w:type="dxa" w:w="32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CER (Activity 7)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SSP.04</w:t>
            </w:r>
          </w:p>
        </w:tc>
        <w:tc>
          <w:tcPr>
            <w:tcW w:type="dxa" w:w="45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Construct and communicate arguments citing supporting evidence.</w:t>
            </w:r>
          </w:p>
        </w:tc>
      </w:tr>
    </w:tbl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Coverage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six practices (SSP.01–SSP.06) are built within every standard’s cycle.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14. Standard Dimension Coverage (C · E · G · H · P · T · TCA)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GC.31 — The Responsibilities of Citizens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Culture (C)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shared expectations of citizens sustain a civic culture.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State-specific jury and voter requirements, including establishing Tennessee residency.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GC.32 — Political Parties &amp; the Nomination Process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Tennessee conducts its primaries and participates in the presidential nomination process.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GC.33 — The Media &amp; Public Opinion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Tennessee voters get civic information and how local media shape state and local issues.</w:t>
            </w:r>
          </w:p>
        </w:tc>
      </w:tr>
    </w:tbl>
    <w:p>
      <w:pPr>
        <w:pStyle w:val="Heading3"/>
        <w:keepNext/>
        <w:spacing w:before="150" w:after="90"/>
      </w:pPr>
      <w:r>
        <w:rPr>
          <w:b/>
          <w:bCs/>
          <w:i w:val="false"/>
          <w:iCs w:val="false"/>
          <w:color w:val="B22234"/>
          <w:sz w:val="24"/>
          <w:szCs w:val="24"/>
          <w:rFonts w:ascii="Calibri" w:cs="Calibri" w:eastAsia="Calibri" w:hAnsi="Calibri"/>
        </w:rPr>
        <w:t xml:space="preserve">GC.34 — Means of Political Participation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48"/>
      </w:tblGrid>
      <w:tr>
        <w:trPr>
          <w:tblHeader/>
        </w:trP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Dimension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Where it is taught in this standard</w:t>
            </w:r>
          </w:p>
        </w:tc>
      </w:tr>
      <w:tr>
        <w:tc>
          <w:tcPr>
            <w:tcW w:type="dxa" w:w="2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Tennessee (T)</w:t>
            </w:r>
          </w:p>
        </w:tc>
        <w:tc>
          <w:tcPr>
            <w:tcW w:type="dxa" w:w="68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How Tennesseans participate locally — from council meetings to petitions — and which direct-democracy tools the state uses.</w:t>
            </w:r>
          </w:p>
        </w:tc>
      </w:tr>
    </w:tbl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15. Constructed Response (CER) — 6-Point Rubric</w:t>
      </w:r>
    </w:p>
    <w:p>
      <w:pPr>
        <w:spacing w:after="10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7148"/>
      </w:tblGrid>
      <w:tr>
        <w:trPr>
          <w:tblHeader/>
        </w:trP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Score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Level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 it looks like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Exemplary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Advanced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Proficient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Adequate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Developing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Beginning</w:t>
            </w:r>
          </w:p>
        </w:tc>
        <w:tc>
          <w:tcPr>
            <w:tcW w:type="dxa" w:w="71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  <w:rFonts w:ascii="Calibri" w:cs="Calibri" w:eastAsia="Calibri" w:hAnsi="Calibri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b w:val="false"/>
          <w:bCs w:val="false"/>
          <w:i/>
          <w:iCs/>
          <w:color w:val="6B7280"/>
          <w:sz w:val="18"/>
          <w:szCs w:val="18"/>
          <w:rFonts w:ascii="Calibri" w:cs="Calibri" w:eastAsia="Calibri" w:hAnsi="Calibri"/>
        </w:rPr>
        <w:t xml:space="preserve">Swap in your bank’s exact CER rubric text if it differs; the 6-point scale (6 Exemplary → 1 Beginning) is the course convention.</w:t>
      </w:r>
    </w:p>
    <w:p>
      <w:r>
        <w:br w:type="page"/>
      </w:r>
    </w:p>
    <w:p>
      <w:pPr>
        <w:pStyle w:val="Heading1"/>
        <w:keepNext/>
        <w:spacing w:before="22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16. Exit Ticket Answer Keys + What’s Next (reteach)</w:t>
      </w:r>
    </w:p>
    <w:p>
      <w:pPr>
        <w:spacing w:after="100"/>
      </w:pPr>
      <w:r>
        <w:rPr>
          <w:b w:val="false"/>
          <w:bCs w:val="false"/>
          <w:i/>
          <w:iCs/>
          <w:color w:val="6B7280"/>
          <w:sz w:val="20"/>
          <w:szCs w:val="20"/>
          <w:rFonts w:ascii="Calibri" w:cs="Calibri" w:eastAsia="Calibri" w:hAnsi="Calibri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700"/>
        <w:gridCol w:w="700"/>
        <w:gridCol w:w="5448"/>
      </w:tblGrid>
      <w:tr>
        <w:trPr>
          <w:tblHeader/>
        </w:trPr>
        <w:tc>
          <w:tcPr>
            <w:tcW w:type="dxa" w:w="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Std</w:t>
            </w:r>
          </w:p>
        </w:tc>
        <w:tc>
          <w:tcPr>
            <w:tcW w:type="dxa" w:w="19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70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54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What’s Next if a student misses it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b w:val="false"/>
        <w:bCs w:val="false"/>
        <w:i w:val="false"/>
        <w:iCs w:val="false"/>
        <w:color w:val="6B7280"/>
        <w:sz w:val="15"/>
        <w:szCs w:val="15"/>
        <w:rFonts w:ascii="Calibri" w:cs="Calibri" w:eastAsia="Calibri" w:hAnsi="Calibri"/>
      </w:rPr>
      <w:t xml:space="preserve">Government Hack™ · Unit 2 Teacher Guide   © 2026 TroopToTeacher Technologies LLC   |   Page </w:t>
    </w:r>
    <w:r>
      <w:rPr>
        <w:b/>
        <w:bCs/>
        <w:color w:val="6B7280"/>
        <w:sz w:val="15"/>
        <w:szCs w:val="15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2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before="220" w:after="90"/>
      <w:outlineLvl w:val="0"/>
    </w:pPr>
    <w:rPr>
      <w:b/>
      <w:bCs/>
      <w:color w:val="1B2A4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pPr>
      <w:keepNext/>
      <w:spacing w:before="150" w:after="80"/>
      <w:outlineLvl w:val="1"/>
    </w:pPr>
    <w:rPr>
      <w:b/>
      <w:bCs/>
      <w:color w:val="1B2A4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pPr>
      <w:keepNext/>
      <w:spacing w:before="120" w:after="70"/>
      <w:outlineLvl w:val="2"/>
    </w:pPr>
    <w:rPr>
      <w:b/>
      <w:bCs/>
      <w:color w:val="B22234"/>
      <w:sz w:val="24"/>
      <w:szCs w:val="24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Government Hack — Unit 2 Teacher How-to-Use &amp; MTSS Guide</dc:title>
  <dc:creator>TroopToTeacher Technologies LLC</dc:creator>
  <cp:lastModifiedBy>Un-named</cp:lastModifiedBy>
  <cp:revision>1</cp:revision>
  <dcterms:created xsi:type="dcterms:W3CDTF">2026-07-29T20:56:27.910Z</dcterms:created>
  <dcterms:modified xsi:type="dcterms:W3CDTF">2026-07-29T20:56:27.910Z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