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Unit 6 — Teacher How-to-Use &amp; MTSS Guide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2"/>
          <w:szCs w:val="22"/>
          <w:rFonts w:ascii="Calibri" w:cs="Calibri" w:eastAsia="Calibri" w:hAnsi="Calibri"/>
        </w:rPr>
        <w:t xml:space="preserve">Civil Liberties · Course Standard · GC.23–GC.27 · Grades 9–12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Release-Ready · Pilot Edition. This guide holds the answer key for teacher use only — keep it separate from student materials.</w:t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1. Firm Goals, Flexible Means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One firm learning goal per standard; flexible, universal means. Supports are available by design and never lower the goal. They work alongside — never in place of — required IEP or 504 accommodations.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The same six labels students see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Label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Essential instruction every student completes.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Optional scaffold that keeps the goal, not lowers it.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Vocabulary, pronunciation, and Spanish cognates.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Write, say/record, or diagram.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Quick DOK-2/3 check to guide reteach or extend.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Deeper challenge once the goal is met.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2. Label-to-Action Table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48"/>
      </w:tblGrid>
      <w:tr>
        <w:trPr>
          <w:tblHeader/>
        </w:trP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 you see…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 this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CORE PATH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Teach to all; this is the standard expectation.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SUPPORT OPTION / Guided Back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to any student; never assign by track.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LANGUAGE SUPPORT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Pre-teach Word Bank terms; use Spanish column for access.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PROGRESS CHECK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Collect a quick response; route with the Decision Cycle.</w:t>
            </w:r>
          </w:p>
        </w:tc>
      </w:tr>
      <w:tr>
        <w:tc>
          <w:tcPr>
            <w:tcW w:type="dxa" w:w="30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EXTENSION</w:t>
            </w:r>
          </w:p>
        </w:tc>
        <w:tc>
          <w:tcPr>
            <w:tcW w:type="dxa" w:w="6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Offer the higher-DOK CER/Extension Bank to anyone ready.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3. MTSS — Tiers of Support Intensity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4648"/>
      </w:tblGrid>
      <w:tr>
        <w:trPr>
          <w:tblHeader/>
        </w:trP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Tier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Who / when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1 (Core)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All students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Full deck + workbook CORE PATH, Word Bank, Cornell Notes.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2 (Targeted)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Students missing a Progress Check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Support Back, sentence frames, Rehearsal Lab.</w:t>
            </w:r>
          </w:p>
        </w:tc>
      </w:tr>
      <w:tr>
        <w:tc>
          <w:tcPr>
            <w:tcW w:type="dxa" w:w="1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Tier 3 (Intensive)</w:t>
            </w:r>
          </w:p>
        </w:tc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Persistent barrier</w:t>
            </w:r>
          </w:p>
        </w:tc>
        <w:tc>
          <w:tcPr>
            <w:tcW w:type="dxa" w:w="4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Pair Guided Back with IEP/504 supports; reteach a step.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4. The MTSS Decision Cycle</w:t>
      </w:r>
    </w:p>
    <w:p>
      <w:pPr>
        <w:spacing w:after="100"/>
      </w:pPr>
      <w:r>
        <w:rPr>
          <w:b/>
          <w:bCs/>
          <w:i w:val="false"/>
          <w:iCs w:val="false"/>
          <w:color w:val="1B2A4A"/>
          <w:sz w:val="24"/>
          <w:szCs w:val="24"/>
          <w:rFonts w:ascii="Calibri" w:cs="Calibri" w:eastAsia="Calibri" w:hAnsi="Calibri"/>
        </w:rPr>
        <w:t xml:space="preserve">PROGRESS CHECK → identify barrier → select support → reteach → recheck → extend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Scaffold fading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Fade Guided → Light → independent as evidence grows; reintroduce support for a new barrier. Required IEP/504 accommodations do not fade unless the authorized team changes them.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5. District Review Evidence Snapshot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248"/>
      </w:tblGrid>
      <w:tr>
        <w:trPr>
          <w:tblHeader/>
        </w:trP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Criterion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shows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alignment (GC.23–GC.27)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Standards &amp; SSP Crosswalk; per-standard blocks.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Public-domain sources, cited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Library; Activity 5 each standard.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UDL 3.0 visible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Accessibility matrix; callouts throughout.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MTSS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This guide §3–4; wrap-up decision band in the Teacher Deck.</w:t>
            </w:r>
          </w:p>
        </w:tc>
      </w:tr>
      <w:tr>
        <w:tc>
          <w:tcPr>
            <w:tcW w:type="dxa" w:w="3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Assessment integrity</w:t>
            </w:r>
          </w:p>
        </w:tc>
        <w:tc>
          <w:tcPr>
            <w:tcW w:type="dxa" w:w="6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Answer key here (separate); de-biased positions.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6. Direct Teaching + Cornell Notes + Slide Deck Workflow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Project the Student (Lean) Deck; students take Cornell Notes on the Universal Front. The Teacher (Full) Deck carries Quick Reviews, Guided Practice, Checks for Understanding, and Answer Reveals.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Verified Lean Student Deck ranges (from the final 64-slide deck)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900"/>
        <w:gridCol w:w="1900"/>
        <w:gridCol w:w="1449"/>
        <w:gridCol w:w="1500"/>
        <w:gridCol w:w="1499"/>
      </w:tblGrid>
      <w:tr>
        <w:trPr>
          <w:tblHeader/>
        </w:trP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Standard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Lean Deck range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Direct-teaching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Vocab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Primary source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Progress Check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GC.23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GC.24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GC.25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GC.26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  <w:tr>
        <w:tc>
          <w:tcPr>
            <w:tcW w:type="dxa" w:w="14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GC.27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2–8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4–6</w:t>
            </w:r>
          </w:p>
        </w:tc>
        <w:tc>
          <w:tcPr>
            <w:tcW w:type="dxa" w:w="144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5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</w:t>
            </w:r>
          </w:p>
        </w:tc>
        <w:tc>
          <w:tcPr>
            <w:tcW w:type="dxa" w:w="1499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7. What to Print and When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Print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When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Universal Front (per standard)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Day 1 of each standard.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Guided / Light Support Backs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 request only; reverse of the front.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+ CER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After direct teaching, before the standard assessment.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Library</w:t>
            </w:r>
          </w:p>
        </w:tc>
        <w:tc>
          <w:tcPr>
            <w:tcW w:type="dxa" w:w="6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Once per unit for reference.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8. Per-Standard Lesson Sequence &amp; Pacing (one standard = one 45-minute period)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 is taught in a single 45-minute period, but the workbook intentionally holds more activity than one period can fit — run them all and it is roughly 90–105 minutes. That is by design: you choose which activities fill your period, and the rest become bell-ringers, stations, homework, reteach, or extension. The estimates below are honest time-on-task for an average class; adjust for yours. Every workbook activity header shows the same ⏱ estimate so students can self-pace.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Honest activity time estimates (pick what fills your 45 minutes)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900"/>
        <w:gridCol w:w="5448"/>
      </w:tblGrid>
      <w:tr>
        <w:trPr>
          <w:tblHeader/>
        </w:trP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~Time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Note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Standard launch (hook · goal · activate · predict)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Frames the learning target and the day.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1 — Vocabulary Word Bank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Reference + self-check + quick-write.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2 — Vocabulary Studio (Frayer)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7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One priority term, four quadrants.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3 — Cornell Notes (with slide deck)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20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Direct-teaching capture — front + processing back.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4 — Close Read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Passage, annotation, text-dependent questions.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5 — Primary Source / Data (HIPPO)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Source + five HIPPO prompts + response.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6 — Practice Quiz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8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 few items + one short DOK-3 write.</w:t>
            </w:r>
          </w:p>
        </w:tc>
      </w:tr>
      <w:tr>
        <w:tc>
          <w:tcPr>
            <w:tcW w:type="dxa" w:w="33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Activity 7 — CER + Exit Ticket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15 min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organizer + paragraph (~12) and Exit Ticket (~3).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Run every activity and a standard totals ≈ 105 minutes (≈ 95 without a map) — about two periods of work compressed into a one-period design. So it is a menu, not a checklist.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How to fill the period — your call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You decide which activities run in class. A common choice is Launch → Cornell Notes with the deck → one analysis activity (Close Read or Primary Source) → the Exit Ticket, but nothing forces that set — pick what your class needs that day.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The Exit Ticket is the daily formative check; try to close every period with it (see §16 for the keys and reteach routing).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Whatever you do not run in class becomes a bell-ringer, station, early-finisher task, homework, reteach, or extension. Rigor stays the same for every learner; UDL/MTSS supports layer on without lowering the bar.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9. Assessment Source &amp; Item Metadata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standard’s Progress Check / Transfer Check is a Teacher-Deck Check for Understanding (DOK 2–3). The additional Practice-Quiz DOK-1 items are Government Hack-authored recall items. All items are pre-field-test (classroom-formative), not a secure TCAP form. Correct-answer positions are de-biased and identical across Student Progress Check, Teacher CFU/Reveal, and the workbook Transfer Check.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De-biased key distribution (Transfer Checks, GC.23–GC.27)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B · D · A · C · A</w:t>
            </w:r>
          </w:p>
        </w:tc>
      </w:tr>
    </w:tbl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10. Practice Quiz — Answer Key &amp; Rationales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GC.23 — The First Amendment in Court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u6-gc23-dok1-1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u1-gc23-dok3-tc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The Court held that students do not 'shed their constitutional rights… at the schoolhouse gate,' protecting non-disruptive student expression like the silent armband protest.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GC.24 — The Second Amendment in Court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u6-gc24-dok1-1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u1-gc24-dok2-tc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In Heller, the Court held that the Second Amendment 'conferred an individual right to keep and bear arms'; McDonald v. Chicago (2010) then applied that right to the states through incorporation.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GC.25 — Rights of the Accused (4th–8th Amendments)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u6-gc25-dok1-1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u1-gc25-dok2-tc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Gideon held that a fair trial requires counsel, so the state must provide a lawyer to defendants too poor to hire one — applying the 6th Amendment to the states.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GC.26 — The 14th Amendment — Equal Protection &amp; Due Process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u6-gc26-dok1-1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u1-gc26-dok3-tc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3: Brown held that segregated schools violate the Equal Protection Clause because 'separate educational facilities are inherently unequal,' overturning the 'separate but equal' doctrine of Plessy v. Ferguson.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GC.27 — Rights for the Underserved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900"/>
        <w:gridCol w:w="52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Rationale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u6-gc27-dok1-1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Recall of the standard’s core term/fact.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u1-gc27-dok2-tc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</w:t>
            </w:r>
          </w:p>
        </w:tc>
        <w:tc>
          <w:tcPr>
            <w:tcW w:type="dxa" w:w="52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DOK 2: Title IX bars sex discrimination in any education program or activity that receives federal funds — a landmark for equal opportunity, including in school sports.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11. How CAST UDL 3.0 Is Visible in Unit 1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UDL principle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In this unit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Engagement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Response choice; Tennessee Connection relevance; optional extensions.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Representation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Word Bank + pronunciation + Spanish; Close-Read supports; HIPPO scaffold.</w:t>
            </w:r>
          </w:p>
        </w:tc>
      </w:tr>
      <w:t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Action &amp; Expression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Write / say / diagram; Frayer studio; CER with rubric.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No fixed-track labels appear anywhere in the student materials; supports are universal and optional.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12. Printable Blank Templates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Reusable blank versions of the two most-printed student pages — print as many as you need for any lesson. Each is designed to fill one page; the Cornell notes are meant to print duplex with a support scaffold on the reverse.</w:t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Cornell Notes — Universal Front (printable)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1"/>
          <w:szCs w:val="21"/>
          <w:rFonts w:ascii="Calibri" w:cs="Calibri" w:eastAsia="Calibri" w:hAnsi="Calibri"/>
        </w:rPr>
        <w:t xml:space="preserve">Name: ______________________    Class / Period: __________    Date: __________    Topic: 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LEARNING TARGET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I can __________________________________________________________________________________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48"/>
      </w:tblGrid>
      <w:tr>
        <w:trPr>
          <w:tblHeader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Guiding cues (about 25%)</w:t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My notes (about 75%)</w:t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26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70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The 25/75 split describes the approximate width of each writing column (label, not a fixed track).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Key terms to list</w:t>
            </w:r>
          </w:p>
        </w:tc>
      </w:tr>
      <w:tr>
        <w:trPr>
          <w:trHeight w:val="4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Summary — In your own words (2–3 sentences)</w:t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5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My 12–15 word headline</w:t>
            </w:r>
          </w:p>
        </w:tc>
      </w:tr>
      <w:tr>
        <w:trPr>
          <w:trHeight w:val="46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Print duplex: the Guided or Light Support for these notes goes on the reverse of this page.</w:t>
      </w:r>
    </w:p>
    <w:p>
      <w:r>
        <w:br w:type="page"/>
      </w:r>
    </w:p>
    <w:p>
      <w:pPr>
        <w:pStyle w:val="Heading2"/>
        <w:keepNext/>
        <w:spacing w:before="150" w:after="90"/>
      </w:pPr>
      <w:r>
        <w:rPr>
          <w:b/>
          <w:bCs/>
          <w:i w:val="false"/>
          <w:iCs w:val="false"/>
          <w:color w:val="1B2A4A"/>
          <w:sz w:val="28"/>
          <w:szCs w:val="28"/>
          <w:rFonts w:ascii="Calibri" w:cs="Calibri" w:eastAsia="Calibri" w:hAnsi="Calibri"/>
        </w:rPr>
        <w:t xml:space="preserve">Blank Vocabulary Studio — Frayer (printable)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RESPONSE CHOICE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Complete the studio by writing, speaking, or diagramming.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C89B3C"/>
                <w:sz w:val="16"/>
                <w:szCs w:val="16"/>
                <w:rFonts w:ascii="Calibri" w:cs="Calibri" w:eastAsia="Calibri" w:hAnsi="Calibri"/>
              </w:rPr>
              <w:t xml:space="preserve">PRIORITY TERM</w:t>
            </w:r>
            <w:r>
              <w:rPr>
                <w:b/>
                <w:bCs/>
                <w:i w:val="false"/>
                <w:iCs w:val="false"/>
                <w:color w:val="FFFFFF"/>
                <w:sz w:val="24"/>
                <w:szCs w:val="24"/>
                <w:rFonts w:ascii="Calibri" w:cs="Calibri" w:eastAsia="Calibri" w:hAnsi="Calibri"/>
              </w:rPr>
              <w:t xml:space="preserve">     __________________________     ES: __________________</w:t>
            </w:r>
          </w:p>
        </w:tc>
      </w:tr>
    </w:tbl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0"/>
          <w:szCs w:val="20"/>
          <w:rFonts w:ascii="Calibri" w:cs="Calibri" w:eastAsia="Calibri" w:hAnsi="Calibri"/>
        </w:rPr>
        <w:t xml:space="preserve">Word-bank meaning to build on: ______________________________________________________________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4"/>
        <w:gridCol w:w="4824"/>
      </w:tblGrid>
      <w:tr>
        <w:trPr>
          <w:tblHeader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18"/>
                <w:szCs w:val="18"/>
                <w:rFonts w:ascii="Calibri" w:cs="Calibri" w:eastAsia="Calibri" w:hAnsi="Calibri"/>
              </w:rPr>
              <w:t xml:space="preserve">Definition (in your own words)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8"/>
                <w:szCs w:val="18"/>
                <w:rFonts w:ascii="Calibri" w:cs="Calibri" w:eastAsia="Calibri" w:hAnsi="Calibri"/>
              </w:rPr>
              <w:t xml:space="preserve">Characteristics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Examples</w:t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Non-examples</w:t>
            </w:r>
          </w:p>
        </w:tc>
      </w:tr>
      <w:tr>
        <w:trPr>
          <w:trHeight w:val="900" w:hRule="atLeast"/>
        </w:trPr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  <w:tc>
          <w:tcPr>
            <w:tcW w:type="dxa" w:w="4824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Use it to explain — write one sentence that uses the term</w:t>
            </w:r>
          </w:p>
        </w:tc>
      </w:tr>
      <w:tr>
        <w:trPr>
          <w:trHeight w:val="520" w:hRule="atLeast"/>
        </w:trP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13. Social Studies Practices (SSP) Crosswalk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activity in the seven-activity cycle builds specific Tennessee Social Studies Practices. Every SSP.01–SSP.06 is covered within each standard’s cycle.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548"/>
      </w:tblGrid>
      <w:tr>
        <w:trPr>
          <w:tblHeader/>
        </w:trP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Activity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Builds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Practice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Cornell Notes (Activity 3)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 historical awareness — sequence events, recognize cause &amp; effect.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Close Read (Activity 4)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SSP.03 · SSP.05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Synthesize data from multiple sources; historical awareness.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Primary Source / HIPPO (Activity 5)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 · SSP.02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Gather, analyze, and evaluate sources; critically examine a source for point of view, bias, context.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Geographer’s Lens (G-tagged standards)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SSP.06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Analyze relationships among geography, economics, and society across time and place.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Practice Quiz (Activity 6)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SSP.01–06 (assessed)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Applied across items.</w:t>
            </w:r>
          </w:p>
        </w:tc>
      </w:tr>
      <w:tr>
        <w:tc>
          <w:tcPr>
            <w:tcW w:type="dxa" w:w="32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CER (Activity 7)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SSP.04</w:t>
            </w:r>
          </w:p>
        </w:tc>
        <w:tc>
          <w:tcPr>
            <w:tcW w:type="dxa" w:w="45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Construct and communicate arguments citing supporting evidence.</w:t>
            </w:r>
          </w:p>
        </w:tc>
      </w:tr>
    </w:tbl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48"/>
      </w:tblGrid>
      <w:tr>
        <w:tc>
          <w:tcPr>
            <w:tcW w:type="dxa" w:w="96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F7F5E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60"/>
            </w:pPr>
            <w:r>
              <w:rPr>
                <w:b/>
                <w:bCs/>
                <w:i w:val="false"/>
                <w:iCs w:val="false"/>
                <w:color w:val="1B2A4A"/>
                <w:sz w:val="21"/>
                <w:szCs w:val="21"/>
                <w:rFonts w:ascii="Calibri" w:cs="Calibri" w:eastAsia="Calibri" w:hAnsi="Calibri"/>
              </w:rPr>
              <w:t xml:space="preserve">Coverage</w:t>
            </w:r>
          </w:p>
          <w:p>
            <w:pPr>
              <w:spacing w:after="4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2"/>
                <w:szCs w:val="22"/>
                <w:rFonts w:ascii="Calibri" w:cs="Calibri" w:eastAsia="Calibri" w:hAnsi="Calibri"/>
              </w:rPr>
              <w:t xml:space="preserve">All six practices (SSP.01–SSP.06) are built within every standard’s cycle.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14. Standard Dimension Coverage (C · E · G · H · P · T · TCA)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Each TN standard carries dimension tags. This crosswalk shows where each dimension is taught within the standard — evidence of full coverage for adoption review. Students see these as plain-language “lenses” on each standard’s opening page.</w:t>
      </w:r>
    </w:p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GC.23 — The First Amendment in Court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First Amendment interpretation shifted across a century of cases.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Tennessee's Scopes Trial (1925) was an early fight over speech and academic freedom.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GC.24 — The Second Amendment in Court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Tennessee's own firearm laws fit within the limits the Court has allowed.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GC.25 — Rights of the Accused (4th–8th Amendments)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Court expanded the rights of the accused across the 1960s.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these federal protections apply in Tennessee's own courts.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GC.26 — The 14th Amendment — Equal Protection &amp; Due Process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the 14th Amendment's meaning shifted from Plessy (1896) to Brown (1954) to Obergefell (2015).</w:t>
            </w:r>
          </w:p>
        </w:tc>
      </w:tr>
    </w:tbl>
    <w:p>
      <w:pPr>
        <w:pStyle w:val="Heading3"/>
        <w:keepNext/>
        <w:spacing w:before="150" w:after="90"/>
      </w:pPr>
      <w:r>
        <w:rPr>
          <w:b/>
          <w:bCs/>
          <w:i w:val="false"/>
          <w:iCs w:val="false"/>
          <w:color w:val="B22234"/>
          <w:sz w:val="24"/>
          <w:szCs w:val="24"/>
          <w:rFonts w:ascii="Calibri" w:cs="Calibri" w:eastAsia="Calibri" w:hAnsi="Calibri"/>
        </w:rPr>
        <w:t xml:space="preserve">GC.27 — Rights for the Underserved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48"/>
      </w:tblGrid>
      <w:tr>
        <w:trPr>
          <w:tblHeader/>
        </w:trP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Dimension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Where it is taught in this standard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History (H)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legislation and precedent widened the circle of protected rights over time.</w:t>
            </w:r>
          </w:p>
        </w:tc>
      </w:tr>
      <w:tr>
        <w:tc>
          <w:tcPr>
            <w:tcW w:type="dxa" w:w="2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Tennessee (T)</w:t>
            </w:r>
          </w:p>
        </w:tc>
        <w:tc>
          <w:tcPr>
            <w:tcW w:type="dxa" w:w="68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How Title IX and the ADA apply in Tennessee schools and workplaces.</w:t>
            </w:r>
          </w:p>
        </w:tc>
      </w:tr>
    </w:tbl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15. Constructed Response (CER) — 6-Point Rubric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1A1A1A"/>
          <w:sz w:val="22"/>
          <w:szCs w:val="22"/>
          <w:rFonts w:ascii="Calibri" w:cs="Calibri" w:eastAsia="Calibri" w:hAnsi="Calibri"/>
        </w:rPr>
        <w:t xml:space="preserve">The course’s canonical constructed-response scale. Student materials use the simple Full / Developing / Beginning per part; teachers score with the 6-point guide below (aligns with the DBQ/CER rubric bank).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700"/>
        <w:gridCol w:w="7148"/>
      </w:tblGrid>
      <w:tr>
        <w:trPr>
          <w:tblHeader/>
        </w:trP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Score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Level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 it looks like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6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Exemplary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Defensible, insightful claim; TWO or more precise, accurate pieces of evidence; reasoning fully explains HOW the evidence proves the claim; cohesive and sophisticated.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5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Advanced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Clear claim; strong, accurate evidence; reasoning explains the link with only minor gaps.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4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Proficient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 claim; some specific evidence; reasoning present but general.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3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Adequate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Basic claim; limited or partly accurate evidence; reasoning thin.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2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Developing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Vague claim; little evidence; evidence largely unexplained.</w:t>
            </w:r>
          </w:p>
        </w:tc>
      </w:tr>
      <w:tr>
        <w:tc>
          <w:tcPr>
            <w:tcW w:type="dxa" w:w="8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1</w:t>
            </w:r>
          </w:p>
        </w:tc>
        <w:tc>
          <w:tcPr>
            <w:tcW w:type="dxa" w:w="1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Beginning</w:t>
            </w:r>
          </w:p>
        </w:tc>
        <w:tc>
          <w:tcPr>
            <w:tcW w:type="dxa" w:w="71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 w:val="false"/>
                <w:bCs w:val="false"/>
                <w:i w:val="false"/>
                <w:iCs w:val="false"/>
                <w:color w:val="1A1A1A"/>
                <w:sz w:val="20"/>
                <w:szCs w:val="20"/>
                <w:rFonts w:ascii="Calibri" w:cs="Calibri" w:eastAsia="Calibri" w:hAnsi="Calibri"/>
              </w:rPr>
              <w:t xml:space="preserve">No clear claim; little or no evidence; no reasoning.</w:t>
            </w:r>
          </w:p>
        </w:tc>
      </w:tr>
    </w:tbl>
    <w:p>
      <w:pPr>
        <w:spacing w:after="100"/>
      </w:pPr>
      <w:r>
        <w:rPr>
          <w:b w:val="false"/>
          <w:bCs w:val="false"/>
          <w:i/>
          <w:iCs/>
          <w:color w:val="6B7280"/>
          <w:sz w:val="18"/>
          <w:szCs w:val="18"/>
          <w:rFonts w:ascii="Calibri" w:cs="Calibri" w:eastAsia="Calibri" w:hAnsi="Calibri"/>
        </w:rPr>
        <w:t xml:space="preserve">Swap in your bank’s exact CER rubric text if it differs; the 6-point scale (6 Exemplary → 1 Beginning) is the course convention.</w:t>
      </w:r>
    </w:p>
    <w:p>
      <w:r>
        <w:br w:type="page"/>
      </w:r>
    </w:p>
    <w:p>
      <w:pPr>
        <w:pStyle w:val="Heading1"/>
        <w:keepNext/>
        <w:spacing w:before="220" w:after="90"/>
      </w:pPr>
      <w:r>
        <w:rPr>
          <w:b/>
          <w:bCs/>
          <w:i w:val="false"/>
          <w:iCs w:val="false"/>
          <w:color w:val="1B2A4A"/>
          <w:sz w:val="36"/>
          <w:szCs w:val="36"/>
          <w:rFonts w:ascii="Calibri" w:cs="Calibri" w:eastAsia="Calibri" w:hAnsi="Calibri"/>
        </w:rPr>
        <w:t xml:space="preserve">16. Exit Ticket Answer Keys + What’s Next (reteach)</w:t>
      </w:r>
    </w:p>
    <w:p>
      <w:pPr>
        <w:spacing w:after="100"/>
      </w:pPr>
      <w:r>
        <w:rPr>
          <w:b w:val="false"/>
          <w:bCs w:val="false"/>
          <w:i/>
          <w:iCs/>
          <w:color w:val="6B7280"/>
          <w:sz w:val="20"/>
          <w:szCs w:val="20"/>
          <w:rFonts w:ascii="Calibri" w:cs="Calibri" w:eastAsia="Calibri" w:hAnsi="Calibri"/>
        </w:rPr>
        <w:t xml:space="preserve">For teacher use only — keep separate from student copies. Each standard’s Exit Ticket (end of the standard, on the CER page) with its key and reteach routing. Items are pre-field-test.</w:t>
      </w:r>
    </w:p>
    <w:tbl>
      <w:tblPr>
        <w:tblW w:type="dxa" w:w="964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700"/>
        <w:gridCol w:w="700"/>
        <w:gridCol w:w="5448"/>
      </w:tblGrid>
      <w:tr>
        <w:trPr>
          <w:tblHeader/>
        </w:trPr>
        <w:tc>
          <w:tcPr>
            <w:tcW w:type="dxa" w:w="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Std</w:t>
            </w:r>
          </w:p>
        </w:tc>
        <w:tc>
          <w:tcPr>
            <w:tcW w:type="dxa" w:w="19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Item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DOK</w:t>
            </w:r>
          </w:p>
        </w:tc>
        <w:tc>
          <w:tcPr>
            <w:tcW w:type="dxa" w:w="700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Key</w:t>
            </w:r>
          </w:p>
        </w:tc>
        <w:tc>
          <w:tcPr>
            <w:tcW w:type="dxa" w:w="5448"/>
            <w:tcBorders>
              <w:top w:val="single" w:color="D9D5C8" w:sz="4"/>
              <w:left w:val="single" w:color="D9D5C8" w:sz="4"/>
              <w:bottom w:val="single" w:color="D9D5C8" w:sz="4"/>
              <w:right w:val="single" w:color="D9D5C8" w:sz="4"/>
            </w:tcBorders>
            <w:shd w:fill="1B2A4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i w:val="false"/>
                <w:iCs w:val="false"/>
                <w:color w:val="FFFFFF"/>
                <w:sz w:val="19"/>
                <w:szCs w:val="19"/>
                <w:rFonts w:ascii="Calibri" w:cs="Calibri" w:eastAsia="Calibri" w:hAnsi="Calibri"/>
              </w:rPr>
              <w:t xml:space="preserve">What’s Next if a student misses 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152" w:right="1296" w:bottom="1152" w:left="1296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b w:val="false"/>
        <w:bCs w:val="false"/>
        <w:i w:val="false"/>
        <w:iCs w:val="false"/>
        <w:color w:val="6B7280"/>
        <w:sz w:val="15"/>
        <w:szCs w:val="15"/>
        <w:rFonts w:ascii="Calibri" w:cs="Calibri" w:eastAsia="Calibri" w:hAnsi="Calibri"/>
      </w:rPr>
      <w:t xml:space="preserve">Government Hack™ · Unit 6 Teacher Guide   © 2026 TroopToTeacher Technologies LLC   |   Page </w:t>
    </w:r>
    <w:r>
      <w:rPr>
        <w:b/>
        <w:bCs/>
        <w:color w:val="6B7280"/>
        <w:sz w:val="15"/>
        <w:szCs w:val="15"/>
        <w:rFonts w:ascii="Calibri" w:cs="Calibri" w:eastAsia="Calibri" w:hAnsi="Calibri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b/>
        <w:bCs/>
        <w:i w:val="false"/>
        <w:iCs w:val="false"/>
        <w:color w:val="C89B3C"/>
        <w:sz w:val="16"/>
        <w:szCs w:val="16"/>
        <w:rFonts w:ascii="Calibri" w:cs="Calibri" w:eastAsia="Calibri" w:hAnsi="Calibri"/>
      </w:rPr>
      <w:t xml:space="preserve">Government Hack™ · Unit 6 Teacher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A1A1A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keepNext/>
      <w:spacing w:before="220" w:after="90"/>
      <w:outlineLvl w:val="0"/>
    </w:pPr>
    <w:rPr>
      <w:b/>
      <w:bCs/>
      <w:color w:val="1B2A4A"/>
      <w:sz w:val="36"/>
      <w:szCs w:val="36"/>
      <w:rFonts w:ascii="Calibri" w:cs="Calibri" w:eastAsia="Calibri" w:hAnsi="Calibri"/>
    </w:rPr>
  </w:style>
  <w:style w:type="paragraph" w:styleId="Heading2">
    <w:name w:val="Heading 2"/>
    <w:basedOn w:val="Normal"/>
    <w:next w:val="Normal"/>
    <w:pPr>
      <w:keepNext/>
      <w:spacing w:before="150" w:after="80"/>
      <w:outlineLvl w:val="1"/>
    </w:pPr>
    <w:rPr>
      <w:b/>
      <w:bCs/>
      <w:color w:val="1B2A4A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pPr>
      <w:keepNext/>
      <w:spacing w:before="120" w:after="70"/>
      <w:outlineLvl w:val="2"/>
    </w:pPr>
    <w:rPr>
      <w:b/>
      <w:bCs/>
      <w:color w:val="B22234"/>
      <w:sz w:val="24"/>
      <w:szCs w:val="24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Government Hack — Unit 6 Teacher How-to-Use &amp; MTSS Guide</dc:title>
  <dc:creator>TroopToTeacher Technologies LLC</dc:creator>
  <cp:lastModifiedBy>Un-named</cp:lastModifiedBy>
  <cp:revision>1</cp:revision>
  <dcterms:created xsi:type="dcterms:W3CDTF">2026-07-29T20:56:37.280Z</dcterms:created>
  <dcterms:modified xsi:type="dcterms:W3CDTF">2026-07-29T20:56:37.281Z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